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80" w:tblpY="1323"/>
        <w:tblW w:w="9072" w:type="dxa"/>
        <w:tblLayout w:type="fixed"/>
        <w:tblCellMar>
          <w:left w:w="0" w:type="dxa"/>
          <w:right w:w="0" w:type="dxa"/>
        </w:tblCellMar>
        <w:tblLook w:val="0000" w:firstRow="0" w:lastRow="0" w:firstColumn="0" w:lastColumn="0" w:noHBand="0" w:noVBand="0"/>
      </w:tblPr>
      <w:tblGrid>
        <w:gridCol w:w="630"/>
        <w:gridCol w:w="4248"/>
        <w:gridCol w:w="4194"/>
      </w:tblGrid>
      <w:tr w:rsidR="00DD2220" w:rsidRPr="00653DFD" w14:paraId="729FB591" w14:textId="77777777" w:rsidTr="007F19E4">
        <w:trPr>
          <w:cantSplit/>
          <w:trHeight w:val="1415"/>
        </w:trPr>
        <w:tc>
          <w:tcPr>
            <w:tcW w:w="4878" w:type="dxa"/>
            <w:gridSpan w:val="2"/>
          </w:tcPr>
          <w:p w14:paraId="4E3A66DD" w14:textId="77777777" w:rsidR="00DD2220" w:rsidRPr="00653DFD" w:rsidRDefault="00DD2220" w:rsidP="00653DFD">
            <w:pPr>
              <w:pStyle w:val="DoVA"/>
              <w:tabs>
                <w:tab w:val="clear" w:pos="432"/>
                <w:tab w:val="clear" w:pos="792"/>
                <w:tab w:val="clear" w:pos="1296"/>
                <w:tab w:val="clear" w:pos="1872"/>
              </w:tabs>
              <w:spacing w:before="240" w:after="0"/>
              <w:ind w:left="360"/>
              <w:rPr>
                <w:rFonts w:cs="Arial"/>
                <w:sz w:val="20"/>
              </w:rPr>
            </w:pPr>
            <w:r w:rsidRPr="00653DFD">
              <w:rPr>
                <w:rFonts w:cs="Arial"/>
              </w:rPr>
              <w:t>Department of</w:t>
            </w:r>
            <w:r w:rsidRPr="00653DFD">
              <w:rPr>
                <w:rFonts w:cs="Arial"/>
              </w:rPr>
              <w:br/>
            </w:r>
            <w:r w:rsidRPr="00653DFD">
              <w:rPr>
                <w:rFonts w:cs="Arial"/>
                <w:position w:val="6"/>
              </w:rPr>
              <w:t>Veterans Affairs</w:t>
            </w:r>
          </w:p>
        </w:tc>
        <w:tc>
          <w:tcPr>
            <w:tcW w:w="4194" w:type="dxa"/>
          </w:tcPr>
          <w:p w14:paraId="318912B7" w14:textId="77777777" w:rsidR="00DD2220" w:rsidRPr="00653DFD" w:rsidRDefault="00DD2220" w:rsidP="00653DFD">
            <w:pPr>
              <w:pStyle w:val="Memo"/>
              <w:tabs>
                <w:tab w:val="clear" w:pos="432"/>
                <w:tab w:val="clear" w:pos="792"/>
                <w:tab w:val="clear" w:pos="1296"/>
                <w:tab w:val="clear" w:pos="1872"/>
              </w:tabs>
              <w:spacing w:before="240"/>
              <w:ind w:right="72"/>
              <w:rPr>
                <w:rFonts w:cs="Arial"/>
                <w:spacing w:val="-20"/>
              </w:rPr>
            </w:pPr>
            <w:r w:rsidRPr="00653DFD">
              <w:rPr>
                <w:rFonts w:cs="Arial"/>
                <w:spacing w:val="-20"/>
              </w:rPr>
              <w:t>Memorandum</w:t>
            </w:r>
          </w:p>
        </w:tc>
      </w:tr>
      <w:tr w:rsidR="00DD2220" w:rsidRPr="00653DFD" w14:paraId="14DB52AD" w14:textId="77777777" w:rsidTr="007F19E4">
        <w:trPr>
          <w:trHeight w:val="377"/>
        </w:trPr>
        <w:tc>
          <w:tcPr>
            <w:tcW w:w="630" w:type="dxa"/>
          </w:tcPr>
          <w:p w14:paraId="740579A1" w14:textId="77777777" w:rsidR="00DD2220" w:rsidRPr="00653DFD" w:rsidRDefault="00DD2220" w:rsidP="00653DFD">
            <w:pPr>
              <w:ind w:right="72"/>
              <w:jc w:val="right"/>
              <w:rPr>
                <w:rFonts w:ascii="Arial" w:hAnsi="Arial" w:cs="Arial"/>
                <w:color w:val="000080"/>
                <w:sz w:val="14"/>
              </w:rPr>
            </w:pPr>
            <w:r w:rsidRPr="00653DFD">
              <w:rPr>
                <w:rFonts w:ascii="Arial" w:hAnsi="Arial" w:cs="Arial"/>
                <w:color w:val="000080"/>
                <w:sz w:val="14"/>
              </w:rPr>
              <w:t>Date:</w:t>
            </w:r>
          </w:p>
        </w:tc>
        <w:tc>
          <w:tcPr>
            <w:tcW w:w="8442" w:type="dxa"/>
            <w:gridSpan w:val="2"/>
          </w:tcPr>
          <w:p w14:paraId="1117FC5E" w14:textId="1CDDAB64" w:rsidR="00DD2220" w:rsidRPr="00653DFD" w:rsidRDefault="00DD2220" w:rsidP="00653DFD">
            <w:pPr>
              <w:rPr>
                <w:rFonts w:ascii="Arial" w:hAnsi="Arial" w:cs="Arial"/>
                <w:sz w:val="22"/>
                <w:szCs w:val="22"/>
              </w:rPr>
            </w:pPr>
            <w:r w:rsidRPr="00653DFD">
              <w:rPr>
                <w:rFonts w:ascii="Arial" w:hAnsi="Arial" w:cs="Arial"/>
              </w:rPr>
              <w:t xml:space="preserve"> </w:t>
            </w:r>
            <w:r w:rsidR="00653DFD" w:rsidRPr="00653DFD">
              <w:rPr>
                <w:rFonts w:ascii="Arial" w:hAnsi="Arial" w:cs="Arial"/>
              </w:rPr>
              <w:t>TBD</w:t>
            </w:r>
          </w:p>
          <w:p w14:paraId="603964C2" w14:textId="77777777" w:rsidR="00DD2220" w:rsidRPr="00653DFD" w:rsidRDefault="00DD2220" w:rsidP="00653DFD">
            <w:pPr>
              <w:ind w:left="72"/>
              <w:rPr>
                <w:rFonts w:ascii="Arial" w:hAnsi="Arial" w:cs="Arial"/>
              </w:rPr>
            </w:pPr>
          </w:p>
        </w:tc>
      </w:tr>
      <w:tr w:rsidR="00DD2220" w:rsidRPr="00653DFD" w14:paraId="417E0412" w14:textId="77777777" w:rsidTr="007F19E4">
        <w:trPr>
          <w:trHeight w:val="580"/>
        </w:trPr>
        <w:tc>
          <w:tcPr>
            <w:tcW w:w="630" w:type="dxa"/>
          </w:tcPr>
          <w:p w14:paraId="3CFF756A" w14:textId="77777777" w:rsidR="00DD2220" w:rsidRPr="00653DFD" w:rsidRDefault="00DD2220" w:rsidP="00653DFD">
            <w:pPr>
              <w:ind w:right="72"/>
              <w:jc w:val="right"/>
              <w:rPr>
                <w:rFonts w:ascii="Arial" w:hAnsi="Arial" w:cs="Arial"/>
                <w:color w:val="000080"/>
                <w:sz w:val="4"/>
                <w:szCs w:val="4"/>
              </w:rPr>
            </w:pPr>
          </w:p>
          <w:p w14:paraId="2F4830AF" w14:textId="77777777" w:rsidR="00DD2220" w:rsidRPr="00653DFD" w:rsidRDefault="00DD2220" w:rsidP="00653DFD">
            <w:pPr>
              <w:ind w:right="72"/>
              <w:jc w:val="right"/>
              <w:rPr>
                <w:rFonts w:ascii="Arial" w:hAnsi="Arial" w:cs="Arial"/>
                <w:color w:val="000080"/>
                <w:sz w:val="14"/>
              </w:rPr>
            </w:pPr>
            <w:r w:rsidRPr="00653DFD">
              <w:rPr>
                <w:rFonts w:ascii="Arial" w:hAnsi="Arial" w:cs="Arial"/>
                <w:color w:val="000080"/>
                <w:sz w:val="14"/>
              </w:rPr>
              <w:t>From:</w:t>
            </w:r>
          </w:p>
        </w:tc>
        <w:tc>
          <w:tcPr>
            <w:tcW w:w="8442" w:type="dxa"/>
            <w:gridSpan w:val="2"/>
          </w:tcPr>
          <w:p w14:paraId="7F8086DB" w14:textId="021F0871" w:rsidR="007F1951" w:rsidRPr="00653DFD" w:rsidRDefault="00653DFD" w:rsidP="00653DFD">
            <w:pPr>
              <w:ind w:left="64" w:right="-900"/>
              <w:rPr>
                <w:rFonts w:ascii="Arial" w:hAnsi="Arial" w:cs="Arial"/>
                <w:color w:val="000000"/>
              </w:rPr>
            </w:pPr>
            <w:r w:rsidRPr="00653DFD">
              <w:rPr>
                <w:rFonts w:ascii="Arial" w:hAnsi="Arial" w:cs="Arial"/>
                <w:kern w:val="2"/>
              </w:rPr>
              <w:t>Assistant Secretary for Human Resources and Administration/Operations, Security, and Preparedness (006)</w:t>
            </w:r>
          </w:p>
          <w:p w14:paraId="00C2853C" w14:textId="77777777" w:rsidR="00DD2220" w:rsidRPr="00653DFD" w:rsidRDefault="00DD2220" w:rsidP="00653DFD">
            <w:pPr>
              <w:rPr>
                <w:rFonts w:ascii="Arial" w:hAnsi="Arial" w:cs="Arial"/>
              </w:rPr>
            </w:pPr>
          </w:p>
        </w:tc>
      </w:tr>
      <w:tr w:rsidR="00DD2220" w:rsidRPr="00653DFD" w14:paraId="4E07CDF9" w14:textId="77777777" w:rsidTr="00B75843">
        <w:trPr>
          <w:trHeight w:val="903"/>
        </w:trPr>
        <w:tc>
          <w:tcPr>
            <w:tcW w:w="630" w:type="dxa"/>
          </w:tcPr>
          <w:p w14:paraId="1A6F0600" w14:textId="77777777" w:rsidR="00DD2220" w:rsidRPr="00653DFD" w:rsidRDefault="00DD2220" w:rsidP="00653DFD">
            <w:pPr>
              <w:ind w:right="72"/>
              <w:jc w:val="right"/>
              <w:rPr>
                <w:rFonts w:ascii="Arial" w:hAnsi="Arial" w:cs="Arial"/>
                <w:color w:val="000080"/>
                <w:sz w:val="4"/>
                <w:szCs w:val="4"/>
              </w:rPr>
            </w:pPr>
          </w:p>
          <w:p w14:paraId="3045FCAD" w14:textId="77777777" w:rsidR="00DD2220" w:rsidRPr="00653DFD" w:rsidRDefault="00DD2220" w:rsidP="00653DFD">
            <w:pPr>
              <w:ind w:right="72"/>
              <w:jc w:val="right"/>
              <w:rPr>
                <w:rFonts w:ascii="Arial" w:hAnsi="Arial" w:cs="Arial"/>
                <w:color w:val="000080"/>
                <w:sz w:val="14"/>
              </w:rPr>
            </w:pPr>
            <w:r w:rsidRPr="00653DFD">
              <w:rPr>
                <w:rFonts w:ascii="Arial" w:hAnsi="Arial" w:cs="Arial"/>
                <w:color w:val="000080"/>
                <w:sz w:val="14"/>
              </w:rPr>
              <w:t>Subj:</w:t>
            </w:r>
          </w:p>
        </w:tc>
        <w:tc>
          <w:tcPr>
            <w:tcW w:w="8442" w:type="dxa"/>
            <w:gridSpan w:val="2"/>
          </w:tcPr>
          <w:p w14:paraId="07FB480D" w14:textId="47EE9709" w:rsidR="00DD2220" w:rsidRPr="00653DFD" w:rsidRDefault="00653DFD" w:rsidP="00653DFD">
            <w:pPr>
              <w:spacing w:before="40"/>
              <w:ind w:left="64"/>
              <w:rPr>
                <w:rFonts w:ascii="Arial" w:hAnsi="Arial" w:cs="Arial"/>
                <w:sz w:val="18"/>
              </w:rPr>
            </w:pPr>
            <w:r w:rsidRPr="00653DFD">
              <w:rPr>
                <w:rFonts w:ascii="Arial" w:hAnsi="Arial" w:cs="Arial"/>
                <w:kern w:val="2"/>
              </w:rPr>
              <w:t>Lapse of Appropriation Implementation Procedures</w:t>
            </w:r>
          </w:p>
        </w:tc>
      </w:tr>
      <w:tr w:rsidR="00DD2220" w:rsidRPr="00653DFD" w14:paraId="0C86CDD3" w14:textId="77777777" w:rsidTr="007F19E4">
        <w:trPr>
          <w:trHeight w:val="281"/>
        </w:trPr>
        <w:tc>
          <w:tcPr>
            <w:tcW w:w="630" w:type="dxa"/>
          </w:tcPr>
          <w:p w14:paraId="1C75AC97" w14:textId="77777777" w:rsidR="00DD2220" w:rsidRPr="00653DFD" w:rsidRDefault="00DD2220" w:rsidP="00653DFD">
            <w:pPr>
              <w:ind w:right="72"/>
              <w:jc w:val="right"/>
              <w:rPr>
                <w:rFonts w:ascii="Arial" w:hAnsi="Arial" w:cs="Arial"/>
                <w:color w:val="000080"/>
                <w:sz w:val="4"/>
                <w:szCs w:val="4"/>
              </w:rPr>
            </w:pPr>
            <w:r w:rsidRPr="00653DFD">
              <w:rPr>
                <w:rFonts w:ascii="Arial" w:hAnsi="Arial" w:cs="Arial"/>
                <w:color w:val="000080"/>
                <w:sz w:val="4"/>
                <w:szCs w:val="4"/>
              </w:rPr>
              <w:t xml:space="preserve"> </w:t>
            </w:r>
          </w:p>
          <w:p w14:paraId="696ADC3E" w14:textId="77777777" w:rsidR="00DD2220" w:rsidRPr="00653DFD" w:rsidRDefault="00DD2220" w:rsidP="00653DFD">
            <w:pPr>
              <w:ind w:right="72"/>
              <w:jc w:val="right"/>
              <w:rPr>
                <w:rFonts w:ascii="Arial" w:hAnsi="Arial" w:cs="Arial"/>
                <w:color w:val="000080"/>
                <w:sz w:val="14"/>
              </w:rPr>
            </w:pPr>
            <w:r w:rsidRPr="00653DFD">
              <w:rPr>
                <w:rFonts w:ascii="Arial" w:hAnsi="Arial" w:cs="Arial"/>
                <w:color w:val="000080"/>
                <w:sz w:val="14"/>
              </w:rPr>
              <w:t>To:</w:t>
            </w:r>
          </w:p>
        </w:tc>
        <w:tc>
          <w:tcPr>
            <w:tcW w:w="8442" w:type="dxa"/>
            <w:gridSpan w:val="2"/>
          </w:tcPr>
          <w:p w14:paraId="167A8581" w14:textId="4855BE85" w:rsidR="00DD2220" w:rsidRPr="00653DFD" w:rsidRDefault="00484083" w:rsidP="00653DFD">
            <w:pPr>
              <w:rPr>
                <w:rFonts w:ascii="Arial" w:hAnsi="Arial" w:cs="Arial"/>
              </w:rPr>
            </w:pPr>
            <w:r w:rsidRPr="00653DFD">
              <w:rPr>
                <w:rFonts w:ascii="Arial" w:hAnsi="Arial" w:cs="Arial"/>
              </w:rPr>
              <w:t xml:space="preserve"> </w:t>
            </w:r>
            <w:r w:rsidR="00653DFD" w:rsidRPr="00653DFD">
              <w:rPr>
                <w:rFonts w:ascii="Arial" w:hAnsi="Arial" w:cs="Arial"/>
                <w:kern w:val="2"/>
              </w:rPr>
              <w:t xml:space="preserve"> Department of Veterans Affairs Managers, Supervisors, and Human Resources Management Officers</w:t>
            </w:r>
            <w:r w:rsidR="00653DFD" w:rsidRPr="00653DFD">
              <w:rPr>
                <w:rFonts w:ascii="Arial" w:hAnsi="Arial" w:cs="Arial"/>
              </w:rPr>
              <w:t xml:space="preserve"> </w:t>
            </w:r>
          </w:p>
          <w:p w14:paraId="75605AC2" w14:textId="77777777" w:rsidR="00EC1266" w:rsidRPr="00653DFD" w:rsidRDefault="00EC1266" w:rsidP="00653DFD">
            <w:pPr>
              <w:rPr>
                <w:rFonts w:ascii="Arial" w:hAnsi="Arial" w:cs="Arial"/>
              </w:rPr>
            </w:pPr>
          </w:p>
        </w:tc>
      </w:tr>
    </w:tbl>
    <w:p w14:paraId="2A92C92E" w14:textId="77777777" w:rsidR="00D637C6" w:rsidRPr="00653DFD" w:rsidRDefault="00D637C6" w:rsidP="00653DFD">
      <w:pPr>
        <w:autoSpaceDE w:val="0"/>
        <w:autoSpaceDN w:val="0"/>
        <w:adjustRightInd w:val="0"/>
        <w:rPr>
          <w:rFonts w:ascii="Arial" w:hAnsi="Arial" w:cs="Arial"/>
        </w:rPr>
      </w:pPr>
    </w:p>
    <w:p w14:paraId="5C3CC605" w14:textId="60E7944E" w:rsidR="00FD17D8" w:rsidRPr="00653DFD" w:rsidRDefault="000E008D" w:rsidP="000E008D">
      <w:pPr>
        <w:autoSpaceDE w:val="0"/>
        <w:autoSpaceDN w:val="0"/>
        <w:adjustRightInd w:val="0"/>
        <w:ind w:left="540"/>
        <w:rPr>
          <w:rFonts w:ascii="Arial" w:hAnsi="Arial" w:cs="Arial"/>
        </w:rPr>
      </w:pPr>
      <w:r>
        <w:rPr>
          <w:rFonts w:ascii="Arial" w:hAnsi="Arial" w:cs="Arial"/>
          <w:b/>
        </w:rPr>
        <w:t xml:space="preserve">1.  </w:t>
      </w:r>
      <w:r w:rsidR="00D637C6" w:rsidRPr="00653DFD">
        <w:rPr>
          <w:rFonts w:ascii="Arial" w:hAnsi="Arial" w:cs="Arial"/>
          <w:b/>
        </w:rPr>
        <w:t>P</w:t>
      </w:r>
      <w:r w:rsidR="00794A7D" w:rsidRPr="00653DFD">
        <w:rPr>
          <w:rFonts w:ascii="Arial" w:hAnsi="Arial" w:cs="Arial"/>
          <w:b/>
        </w:rPr>
        <w:t>urpose</w:t>
      </w:r>
      <w:r w:rsidR="00653DFD" w:rsidRPr="00653DFD">
        <w:rPr>
          <w:rFonts w:ascii="Arial" w:hAnsi="Arial" w:cs="Arial"/>
          <w:b/>
        </w:rPr>
        <w:t>.</w:t>
      </w:r>
      <w:r w:rsidR="006F78EA" w:rsidRPr="00653DFD">
        <w:rPr>
          <w:rFonts w:ascii="Arial" w:hAnsi="Arial" w:cs="Arial"/>
        </w:rPr>
        <w:t xml:space="preserve"> </w:t>
      </w:r>
      <w:r w:rsidR="00653DFD" w:rsidRPr="00653DFD">
        <w:rPr>
          <w:rFonts w:ascii="Arial" w:hAnsi="Arial" w:cs="Arial"/>
        </w:rPr>
        <w:t>The purpose of this memo is to provide guidance for the emergency shutdown of Department of Veterans Affairs (VA or the Department) operations due to lapse in appropriation. The following guidance addresses the process for notifying employees of a shutdown furlough.</w:t>
      </w:r>
    </w:p>
    <w:p w14:paraId="6D400A52" w14:textId="77777777" w:rsidR="007F0D79" w:rsidRPr="00653DFD" w:rsidRDefault="007F0D79" w:rsidP="00653DFD">
      <w:pPr>
        <w:autoSpaceDE w:val="0"/>
        <w:autoSpaceDN w:val="0"/>
        <w:adjustRightInd w:val="0"/>
        <w:ind w:left="540"/>
        <w:rPr>
          <w:rFonts w:ascii="Arial" w:hAnsi="Arial" w:cs="Arial"/>
        </w:rPr>
      </w:pPr>
    </w:p>
    <w:p w14:paraId="4CD8E001" w14:textId="0E213808" w:rsidR="007F1951" w:rsidRPr="00653DFD" w:rsidRDefault="00794A7D" w:rsidP="00653DFD">
      <w:pPr>
        <w:pStyle w:val="Default"/>
        <w:ind w:left="540"/>
      </w:pPr>
      <w:r w:rsidRPr="00653DFD">
        <w:t xml:space="preserve">2. </w:t>
      </w:r>
      <w:r w:rsidR="00300051" w:rsidRPr="00653DFD">
        <w:t xml:space="preserve"> </w:t>
      </w:r>
      <w:r w:rsidR="00653DFD" w:rsidRPr="00653DFD">
        <w:rPr>
          <w:b/>
        </w:rPr>
        <w:t>Policy.</w:t>
      </w:r>
      <w:r w:rsidR="00637CDA" w:rsidRPr="00653DFD">
        <w:rPr>
          <w:b/>
        </w:rPr>
        <w:t xml:space="preserve"> </w:t>
      </w:r>
      <w:r w:rsidR="00653DFD" w:rsidRPr="00653DFD">
        <w:t>When an Appropriation Act or a Continuing Resolution has not been signed by the President, thereby causing a lapse in appropriations, it is the policy of the Department that all employees who are not performing excepted or funded activities be placed on emergency furlough. Employees performing non-excepted activities may not perform any services other than those involved in the orderly suspension of non-excepted activities; excepted activities that may be continued are generally those that are authorized by law or that protect life and property. Employees will not be permitted to volunteer non-excepted services.</w:t>
      </w:r>
    </w:p>
    <w:p w14:paraId="396B0823" w14:textId="77777777" w:rsidR="007F0D79" w:rsidRPr="00653DFD" w:rsidRDefault="007F0D79" w:rsidP="00653DFD">
      <w:pPr>
        <w:pStyle w:val="Default"/>
        <w:ind w:left="540"/>
      </w:pPr>
    </w:p>
    <w:p w14:paraId="5A23E7FA" w14:textId="33A26770" w:rsidR="007F451E" w:rsidRPr="00653DFD" w:rsidRDefault="007F451E" w:rsidP="00653DFD">
      <w:pPr>
        <w:pStyle w:val="Header"/>
        <w:tabs>
          <w:tab w:val="clear" w:pos="4320"/>
          <w:tab w:val="clear" w:pos="8640"/>
        </w:tabs>
        <w:ind w:left="540"/>
      </w:pPr>
      <w:r w:rsidRPr="00653DFD">
        <w:t xml:space="preserve">3.  </w:t>
      </w:r>
      <w:r w:rsidR="00653DFD" w:rsidRPr="00653DFD">
        <w:rPr>
          <w:b/>
          <w:color w:val="000000"/>
        </w:rPr>
        <w:t>Authorization Coverage.</w:t>
      </w:r>
      <w:r w:rsidRPr="00653DFD">
        <w:rPr>
          <w:b/>
          <w:color w:val="000000"/>
        </w:rPr>
        <w:t xml:space="preserve"> </w:t>
      </w:r>
      <w:r w:rsidR="00653DFD" w:rsidRPr="00653DFD">
        <w:t>A furlough of 30 calendar days or less is covered under Subpart D of 5 C.F.R. Part 752, adverse action procedures. A furlough of more than 30 calendar days is covered under 5 C.F.R. Part 351, reduction in force procedures. All furloughs for Senior Executive Service members are covered under Subpart H of 5 C.F.R. Part 359.</w:t>
      </w:r>
    </w:p>
    <w:p w14:paraId="78FA4373" w14:textId="77777777" w:rsidR="007F0D79" w:rsidRPr="00653DFD" w:rsidRDefault="007F0D79" w:rsidP="00653DFD">
      <w:pPr>
        <w:pStyle w:val="ListParagraph"/>
        <w:rPr>
          <w:rFonts w:ascii="Arial" w:hAnsi="Arial" w:cs="Arial"/>
        </w:rPr>
      </w:pPr>
    </w:p>
    <w:p w14:paraId="33FA7C5A" w14:textId="75F010EB" w:rsidR="007F451E" w:rsidRPr="00653DFD" w:rsidRDefault="007F451E" w:rsidP="00E531AA">
      <w:pPr>
        <w:pStyle w:val="Header"/>
        <w:keepLines/>
        <w:tabs>
          <w:tab w:val="clear" w:pos="4320"/>
          <w:tab w:val="clear" w:pos="8640"/>
        </w:tabs>
        <w:ind w:left="547"/>
        <w:rPr>
          <w:kern w:val="2"/>
        </w:rPr>
      </w:pPr>
      <w:r w:rsidRPr="00653DFD">
        <w:t xml:space="preserve">4.  </w:t>
      </w:r>
      <w:r w:rsidR="00653DFD" w:rsidRPr="00653DFD">
        <w:rPr>
          <w:b/>
          <w:color w:val="000000"/>
        </w:rPr>
        <w:t>Notice.</w:t>
      </w:r>
      <w:r w:rsidRPr="00653DFD">
        <w:rPr>
          <w:b/>
          <w:color w:val="000000"/>
        </w:rPr>
        <w:t xml:space="preserve"> </w:t>
      </w:r>
      <w:r w:rsidR="00653DFD" w:rsidRPr="00653DFD">
        <w:rPr>
          <w:kern w:val="2"/>
        </w:rPr>
        <w:t>In accordance with 5 C.F.R. § 752.404(d)(2)</w:t>
      </w:r>
      <w:r w:rsidR="00E531AA">
        <w:rPr>
          <w:kern w:val="2"/>
        </w:rPr>
        <w:t xml:space="preserve"> and 5 C.F.R. </w:t>
      </w:r>
      <w:r w:rsidR="00E531AA" w:rsidRPr="00653DFD">
        <w:rPr>
          <w:kern w:val="2"/>
        </w:rPr>
        <w:t>§</w:t>
      </w:r>
      <w:r w:rsidR="00E531AA">
        <w:rPr>
          <w:kern w:val="2"/>
        </w:rPr>
        <w:t xml:space="preserve"> 359.806(a)</w:t>
      </w:r>
      <w:r w:rsidR="00653DFD" w:rsidRPr="00653DFD">
        <w:rPr>
          <w:kern w:val="2"/>
        </w:rPr>
        <w:t>, the advance written notice and opportunity to answer are not required for furlough without pay due to unforeseeable circumstances such as sudden breakdowns in equipment, acts of God, or sudden emergencies requiring immediate curtailment of activities.</w:t>
      </w:r>
    </w:p>
    <w:p w14:paraId="4A2090B9" w14:textId="5E5CDC60" w:rsidR="00653DFD" w:rsidRPr="00653DFD" w:rsidRDefault="00653DFD" w:rsidP="00653DFD">
      <w:pPr>
        <w:pStyle w:val="Header"/>
        <w:tabs>
          <w:tab w:val="clear" w:pos="4320"/>
          <w:tab w:val="clear" w:pos="8640"/>
        </w:tabs>
        <w:ind w:left="540"/>
        <w:rPr>
          <w:kern w:val="2"/>
        </w:rPr>
      </w:pPr>
    </w:p>
    <w:p w14:paraId="2B7F408B" w14:textId="13E01105" w:rsidR="00653DFD" w:rsidRPr="00653DFD" w:rsidRDefault="00653DFD" w:rsidP="00653DFD">
      <w:pPr>
        <w:pStyle w:val="Header"/>
        <w:tabs>
          <w:tab w:val="clear" w:pos="4320"/>
          <w:tab w:val="clear" w:pos="8640"/>
        </w:tabs>
        <w:ind w:left="540"/>
        <w:rPr>
          <w:kern w:val="2"/>
        </w:rPr>
      </w:pPr>
      <w:r w:rsidRPr="00653DFD">
        <w:rPr>
          <w:kern w:val="2"/>
        </w:rPr>
        <w:t>5.</w:t>
      </w:r>
      <w:r w:rsidR="000E008D">
        <w:rPr>
          <w:kern w:val="2"/>
        </w:rPr>
        <w:t xml:space="preserve">  </w:t>
      </w:r>
      <w:r w:rsidRPr="00653DFD">
        <w:rPr>
          <w:b/>
          <w:bCs/>
          <w:kern w:val="2"/>
        </w:rPr>
        <w:t>Procedures for Issuing Notices.</w:t>
      </w:r>
      <w:r w:rsidRPr="00653DFD">
        <w:rPr>
          <w:kern w:val="2"/>
        </w:rPr>
        <w:t xml:space="preserve"> </w:t>
      </w:r>
    </w:p>
    <w:p w14:paraId="37883493" w14:textId="7F55B8CD" w:rsidR="00653DFD" w:rsidRPr="00653DFD" w:rsidRDefault="00653DFD" w:rsidP="00653DFD">
      <w:pPr>
        <w:pStyle w:val="Header"/>
        <w:tabs>
          <w:tab w:val="clear" w:pos="4320"/>
          <w:tab w:val="clear" w:pos="8640"/>
        </w:tabs>
        <w:ind w:left="540"/>
      </w:pPr>
    </w:p>
    <w:p w14:paraId="224A88ED" w14:textId="7D8E9A75" w:rsidR="00653DFD" w:rsidRPr="00653DFD" w:rsidRDefault="00653DFD" w:rsidP="000E008D">
      <w:pPr>
        <w:pStyle w:val="ListParagraph"/>
        <w:widowControl w:val="0"/>
        <w:numPr>
          <w:ilvl w:val="0"/>
          <w:numId w:val="42"/>
        </w:numPr>
        <w:overflowPunct w:val="0"/>
        <w:autoSpaceDE w:val="0"/>
        <w:autoSpaceDN w:val="0"/>
        <w:spacing w:after="240"/>
        <w:ind w:left="900" w:firstLine="0"/>
        <w:rPr>
          <w:rFonts w:ascii="Arial" w:hAnsi="Arial" w:cs="Arial"/>
          <w:kern w:val="2"/>
          <w:lang w:bidi="en-US"/>
        </w:rPr>
      </w:pPr>
      <w:r w:rsidRPr="00653DFD">
        <w:rPr>
          <w:rFonts w:ascii="Arial" w:hAnsi="Arial" w:cs="Arial"/>
          <w:kern w:val="2"/>
          <w:lang w:bidi="en-US"/>
        </w:rPr>
        <w:t>If appropriations are passed by Congress and signed by the President before the beginning of a workday, employees should report to work as usual.</w:t>
      </w:r>
      <w:r w:rsidR="00E531AA">
        <w:rPr>
          <w:rFonts w:ascii="Arial" w:hAnsi="Arial" w:cs="Arial"/>
          <w:kern w:val="2"/>
          <w:lang w:bidi="en-US"/>
        </w:rPr>
        <w:br/>
      </w:r>
    </w:p>
    <w:p w14:paraId="2073B501" w14:textId="77777777" w:rsidR="00653DFD" w:rsidRPr="00653DFD" w:rsidRDefault="00653DFD" w:rsidP="000E008D">
      <w:pPr>
        <w:widowControl w:val="0"/>
        <w:numPr>
          <w:ilvl w:val="0"/>
          <w:numId w:val="42"/>
        </w:numPr>
        <w:overflowPunct w:val="0"/>
        <w:autoSpaceDE w:val="0"/>
        <w:autoSpaceDN w:val="0"/>
        <w:spacing w:after="240" w:line="259" w:lineRule="auto"/>
        <w:ind w:left="900" w:firstLine="0"/>
        <w:rPr>
          <w:rFonts w:ascii="Arial" w:hAnsi="Arial" w:cs="Arial"/>
          <w:kern w:val="2"/>
          <w:lang w:bidi="en-US"/>
        </w:rPr>
      </w:pPr>
      <w:r w:rsidRPr="00653DFD">
        <w:rPr>
          <w:rFonts w:ascii="Arial" w:hAnsi="Arial" w:cs="Arial"/>
          <w:kern w:val="2"/>
          <w:lang w:bidi="en-US"/>
        </w:rPr>
        <w:t xml:space="preserve">On the first day appropriations are not passed by Congress and signed by the President before the beginning of a workday, the following actions are </w:t>
      </w:r>
      <w:r w:rsidRPr="00653DFD">
        <w:rPr>
          <w:rFonts w:ascii="Arial" w:hAnsi="Arial" w:cs="Arial"/>
          <w:kern w:val="2"/>
          <w:lang w:bidi="en-US"/>
        </w:rPr>
        <w:lastRenderedPageBreak/>
        <w:t>required:</w:t>
      </w:r>
    </w:p>
    <w:p w14:paraId="4A51F972" w14:textId="0200B8DE" w:rsidR="00653DFD" w:rsidRPr="00653DFD" w:rsidRDefault="00653DFD" w:rsidP="00653DFD">
      <w:pPr>
        <w:pStyle w:val="Header"/>
        <w:tabs>
          <w:tab w:val="clear" w:pos="4320"/>
          <w:tab w:val="clear" w:pos="8640"/>
        </w:tabs>
        <w:spacing w:after="240"/>
        <w:ind w:left="1440"/>
      </w:pPr>
      <w:r w:rsidRPr="00653DFD">
        <w:t>(1)</w:t>
      </w:r>
      <w:r w:rsidRPr="00653DFD">
        <w:tab/>
      </w:r>
      <w:r w:rsidR="00E531AA" w:rsidRPr="00E531AA">
        <w:t>Employees will report to work as scheduled to begin phase-down activities and to await instructions on whether a furlough will be necessary. Supervisors must provide the employee with a written notice as soon as possible and should receive written confirmation and the employee’s acknowledgment that they received the notice. A copy of the notice should be provided to the servicing HR office to retain in the furlough folder for up to two years. Supervisors must then ensure shutdown activities are completed in the most expeditious manner possible; generally, such activities may not exceed three to four hours. These shutdown activities may include receiving and acknowledging furlough notices, completing any required time and attendance reporting, setting email/voicemail out-of-office notifications, securing files, and other activities necessary to preserve the employee’s work. Employees performing these activities will be entitled to compensation.</w:t>
      </w:r>
    </w:p>
    <w:p w14:paraId="45DB5DA9" w14:textId="1100B363" w:rsidR="00653DFD" w:rsidRPr="00653DFD" w:rsidRDefault="00653DFD" w:rsidP="00653DFD">
      <w:pPr>
        <w:pStyle w:val="Header"/>
        <w:tabs>
          <w:tab w:val="clear" w:pos="4320"/>
          <w:tab w:val="clear" w:pos="8640"/>
        </w:tabs>
        <w:spacing w:after="240"/>
        <w:ind w:left="1440"/>
      </w:pPr>
      <w:r w:rsidRPr="00653DFD">
        <w:t>(2)</w:t>
      </w:r>
      <w:r w:rsidRPr="00653DFD">
        <w:tab/>
        <w:t xml:space="preserve">Employees </w:t>
      </w:r>
      <w:r w:rsidR="00E531AA" w:rsidRPr="00E531AA">
        <w:t xml:space="preserve">in travel status must be notified by their supervisors in advance of the upcoming shutdown furlough and be ordered to return to their duty station before the furlough begins </w:t>
      </w:r>
      <w:proofErr w:type="gramStart"/>
      <w:r w:rsidR="00E531AA" w:rsidRPr="00E531AA">
        <w:t>in order to</w:t>
      </w:r>
      <w:proofErr w:type="gramEnd"/>
      <w:r w:rsidR="00E531AA" w:rsidRPr="00E531AA">
        <w:t xml:space="preserve"> avoid incurring travel expenses after the furlough period has already begun.</w:t>
      </w:r>
    </w:p>
    <w:p w14:paraId="0BA4EEAB" w14:textId="77777777" w:rsidR="00653DFD" w:rsidRPr="00653DFD" w:rsidRDefault="00653DFD" w:rsidP="00653DFD">
      <w:pPr>
        <w:pStyle w:val="Header"/>
        <w:tabs>
          <w:tab w:val="clear" w:pos="4320"/>
          <w:tab w:val="clear" w:pos="8640"/>
        </w:tabs>
        <w:spacing w:after="240"/>
        <w:ind w:left="1440"/>
      </w:pPr>
      <w:r w:rsidRPr="00653DFD">
        <w:t>(3)</w:t>
      </w:r>
      <w:r w:rsidRPr="00653DFD">
        <w:tab/>
        <w:t xml:space="preserve">Employees who are scheduled to telework (or who are remote) are permitted on their next scheduled workday to perform necessary shutdown activities from their telework location if an existing telework agreement is in place. To the greatest extent practical, and as locally determined, the supervisor may allow other employees to conduct necessary shutdown activities from a remote location without an existing telework agreement, if the nature of the employees' shutdown activities are de minimis (i.e., can be completed in approximately 15 minutes). For example, such activities would include receiving and acknowledging receipt of an electronic furlough notice and adjusting voicemail and email to reflect current work status. </w:t>
      </w:r>
    </w:p>
    <w:p w14:paraId="5164DA88" w14:textId="77777777" w:rsidR="00653DFD" w:rsidRPr="00653DFD" w:rsidRDefault="00653DFD" w:rsidP="00653DFD">
      <w:pPr>
        <w:pStyle w:val="Header"/>
        <w:tabs>
          <w:tab w:val="clear" w:pos="4320"/>
          <w:tab w:val="clear" w:pos="8640"/>
        </w:tabs>
        <w:spacing w:after="240"/>
        <w:ind w:left="1440"/>
      </w:pPr>
      <w:r w:rsidRPr="00653DFD">
        <w:t>(4)</w:t>
      </w:r>
      <w:r w:rsidRPr="00653DFD">
        <w:tab/>
        <w:t>Employees that are on their scheduled compressed workday off (also known as regular day off (RDO)) must be contacted via phone or email by their supervisor and notified of the furlough and their designation as furloughed, excepted, or funded. The supervisor must provide the employee with a written notice as soon as possible and should receive written confirmation and the employee’s acknowledgment that they received the notice. A copy of the notice should be provided to the servicing HR office to retain in the furlough folder for up to two years.</w:t>
      </w:r>
    </w:p>
    <w:p w14:paraId="3E995712" w14:textId="77777777" w:rsidR="00E531AA" w:rsidRDefault="00653DFD" w:rsidP="00E531AA">
      <w:pPr>
        <w:pStyle w:val="Header"/>
        <w:tabs>
          <w:tab w:val="clear" w:pos="4320"/>
          <w:tab w:val="clear" w:pos="8640"/>
        </w:tabs>
        <w:spacing w:after="240"/>
        <w:ind w:left="1440"/>
      </w:pPr>
      <w:r w:rsidRPr="00653DFD">
        <w:t>(5)</w:t>
      </w:r>
      <w:r w:rsidRPr="00653DFD">
        <w:tab/>
        <w:t xml:space="preserve">VA employees who are on detail out of VA on Intergovernmental Personnel Act (IPA) assignments and are being paid directly from VA should prepare to return to their VA duty station of record. These employees will be notified by their VA manager or supervisor when to </w:t>
      </w:r>
      <w:r w:rsidR="00E531AA" w:rsidRPr="00E531AA">
        <w:t>return, if necessary. VA employees paid by the sponsors of their IPA assignments are not affected by VA’s lack of appropriations.</w:t>
      </w:r>
    </w:p>
    <w:p w14:paraId="2B815FFD" w14:textId="1BAE2595" w:rsidR="00B96455" w:rsidRPr="00653DFD" w:rsidRDefault="00653DFD" w:rsidP="00E531AA">
      <w:pPr>
        <w:pStyle w:val="Header"/>
        <w:tabs>
          <w:tab w:val="clear" w:pos="4320"/>
          <w:tab w:val="clear" w:pos="8640"/>
        </w:tabs>
        <w:spacing w:after="240"/>
        <w:ind w:left="1440"/>
      </w:pPr>
      <w:r w:rsidRPr="00653DFD">
        <w:t>(6)</w:t>
      </w:r>
      <w:r w:rsidRPr="00653DFD">
        <w:tab/>
        <w:t xml:space="preserve">Employees in a training status off VA premises must return to their duty station. Employees in training on VA premises will immediately </w:t>
      </w:r>
      <w:r w:rsidRPr="00653DFD">
        <w:lastRenderedPageBreak/>
        <w:t>contact their supervisor’s office for instructions regarding returning to their duty station.</w:t>
      </w:r>
    </w:p>
    <w:p w14:paraId="1D1A4221" w14:textId="77777777" w:rsidR="00653DFD" w:rsidRPr="00653DFD" w:rsidRDefault="00653DFD" w:rsidP="00653DFD">
      <w:pPr>
        <w:shd w:val="clear" w:color="auto" w:fill="FFFFFF"/>
        <w:spacing w:after="240"/>
        <w:ind w:left="1440"/>
        <w:rPr>
          <w:rFonts w:ascii="Arial" w:hAnsi="Arial" w:cs="Arial"/>
        </w:rPr>
      </w:pPr>
      <w:r w:rsidRPr="00653DFD">
        <w:rPr>
          <w:rFonts w:ascii="Arial" w:hAnsi="Arial" w:cs="Arial"/>
        </w:rPr>
        <w:t>(7)</w:t>
      </w:r>
      <w:r w:rsidRPr="00653DFD">
        <w:rPr>
          <w:rFonts w:ascii="Arial" w:hAnsi="Arial" w:cs="Arial"/>
        </w:rPr>
        <w:tab/>
        <w:t>Employees on approved leave (annual, sick, court, or military) at the time of a lapse of appropriations will be treated for pay purposes in the same manner as those employees not on leave. Employees performing nonexcepted activities must be provided a furlough notice instructing them to cease performing nonexcepted or funded activities; and employees performing excepted or funded activities must be provided a notice indicating that they have been deemed as such.</w:t>
      </w:r>
    </w:p>
    <w:p w14:paraId="1367BA24" w14:textId="77777777" w:rsidR="00653DFD" w:rsidRPr="00653DFD" w:rsidRDefault="00653DFD" w:rsidP="00653DFD">
      <w:pPr>
        <w:shd w:val="clear" w:color="auto" w:fill="FFFFFF"/>
        <w:spacing w:after="240"/>
        <w:ind w:left="1440"/>
        <w:rPr>
          <w:rFonts w:ascii="Arial" w:hAnsi="Arial" w:cs="Arial"/>
        </w:rPr>
      </w:pPr>
      <w:r w:rsidRPr="00653DFD">
        <w:rPr>
          <w:rFonts w:ascii="Arial" w:hAnsi="Arial" w:cs="Arial"/>
        </w:rPr>
        <w:t>(8)</w:t>
      </w:r>
      <w:r w:rsidRPr="00653DFD">
        <w:rPr>
          <w:rFonts w:ascii="Arial" w:hAnsi="Arial" w:cs="Arial"/>
        </w:rPr>
        <w:tab/>
        <w:t>Employees that have received Permanent Change of Station (PCS) orders and are in route should continue to their destination. Employees that have received their PCS orders but have not begun travel should not begin travel.</w:t>
      </w:r>
    </w:p>
    <w:p w14:paraId="1D4C37D7" w14:textId="0D5CBBDE" w:rsidR="007F0D79" w:rsidRPr="00653DFD" w:rsidRDefault="00653DFD" w:rsidP="00653DFD">
      <w:pPr>
        <w:shd w:val="clear" w:color="auto" w:fill="FFFFFF"/>
        <w:spacing w:after="240"/>
        <w:ind w:left="1440"/>
        <w:rPr>
          <w:rFonts w:ascii="Arial" w:hAnsi="Arial" w:cs="Arial"/>
        </w:rPr>
      </w:pPr>
      <w:r w:rsidRPr="00653DFD">
        <w:rPr>
          <w:rFonts w:ascii="Arial" w:hAnsi="Arial" w:cs="Arial"/>
        </w:rPr>
        <w:t>(9)</w:t>
      </w:r>
      <w:r w:rsidRPr="00653DFD">
        <w:rPr>
          <w:rFonts w:ascii="Arial" w:hAnsi="Arial" w:cs="Arial"/>
        </w:rPr>
        <w:tab/>
        <w:t xml:space="preserve">Employees designated as “excepted” employees will continue to perform necessary activities to ensure the protection of human life or protection of Government property </w:t>
      </w:r>
      <w:proofErr w:type="gramStart"/>
      <w:r w:rsidRPr="00653DFD">
        <w:rPr>
          <w:rFonts w:ascii="Arial" w:hAnsi="Arial" w:cs="Arial"/>
        </w:rPr>
        <w:t>in the event that</w:t>
      </w:r>
      <w:proofErr w:type="gramEnd"/>
      <w:r w:rsidRPr="00653DFD">
        <w:rPr>
          <w:rFonts w:ascii="Arial" w:hAnsi="Arial" w:cs="Arial"/>
        </w:rPr>
        <w:t xml:space="preserve"> a delay in the performance of their assigned activities would compromise the protection of human life or property. When their work is complete, if there is still a lapse in appropriations, they will be placed on emergency furlough. These employees may be required to work on an intermittent basis during the emergency furlough.  </w:t>
      </w:r>
    </w:p>
    <w:p w14:paraId="1006FF29" w14:textId="77777777" w:rsidR="007F0D79" w:rsidRPr="00653DFD" w:rsidRDefault="007F0D79" w:rsidP="00653DFD">
      <w:pPr>
        <w:shd w:val="clear" w:color="auto" w:fill="FFFFFF"/>
        <w:rPr>
          <w:rFonts w:ascii="Arial" w:hAnsi="Arial" w:cs="Arial"/>
        </w:rPr>
      </w:pPr>
    </w:p>
    <w:p w14:paraId="7E711637" w14:textId="77777777" w:rsidR="00653DFD" w:rsidRPr="00653DFD" w:rsidRDefault="00653DFD" w:rsidP="00653DFD">
      <w:pPr>
        <w:shd w:val="clear" w:color="auto" w:fill="FFFFFF"/>
        <w:spacing w:after="240"/>
        <w:ind w:left="994"/>
        <w:rPr>
          <w:rFonts w:ascii="Arial" w:hAnsi="Arial" w:cs="Arial"/>
        </w:rPr>
      </w:pPr>
      <w:r w:rsidRPr="00653DFD">
        <w:rPr>
          <w:rFonts w:ascii="Arial" w:hAnsi="Arial" w:cs="Arial"/>
        </w:rPr>
        <w:t>c.</w:t>
      </w:r>
      <w:r w:rsidRPr="00653DFD">
        <w:rPr>
          <w:rFonts w:ascii="Arial" w:hAnsi="Arial" w:cs="Arial"/>
        </w:rPr>
        <w:tab/>
        <w:t xml:space="preserve">Managers and supervisors should avoid, if possible, assigning an excepted activity to an employee that is not reachable </w:t>
      </w:r>
      <w:proofErr w:type="gramStart"/>
      <w:r w:rsidRPr="00653DFD">
        <w:rPr>
          <w:rFonts w:ascii="Arial" w:hAnsi="Arial" w:cs="Arial"/>
        </w:rPr>
        <w:t>as a result of</w:t>
      </w:r>
      <w:proofErr w:type="gramEnd"/>
      <w:r w:rsidRPr="00653DFD">
        <w:rPr>
          <w:rFonts w:ascii="Arial" w:hAnsi="Arial" w:cs="Arial"/>
        </w:rPr>
        <w:t xml:space="preserve">: 1) being on annual leave and on personal travel in a remote and/or distant geographical location; or 2) is on sick leave and is incapacitated due to an illness during the furlough. The employee should be placed in a non-pay status and the activity should be assigned to another qualified employee within the competitive level to perform the activity.  </w:t>
      </w:r>
    </w:p>
    <w:p w14:paraId="536E3105" w14:textId="77777777" w:rsidR="00653DFD" w:rsidRPr="00653DFD" w:rsidRDefault="00653DFD" w:rsidP="00653DFD">
      <w:pPr>
        <w:shd w:val="clear" w:color="auto" w:fill="FFFFFF"/>
        <w:spacing w:after="240"/>
        <w:ind w:left="994"/>
        <w:rPr>
          <w:rFonts w:ascii="Arial" w:hAnsi="Arial" w:cs="Arial"/>
        </w:rPr>
      </w:pPr>
      <w:r w:rsidRPr="00653DFD">
        <w:rPr>
          <w:rFonts w:ascii="Arial" w:hAnsi="Arial" w:cs="Arial"/>
        </w:rPr>
        <w:t>d.</w:t>
      </w:r>
      <w:r w:rsidRPr="00653DFD">
        <w:rPr>
          <w:rFonts w:ascii="Arial" w:hAnsi="Arial" w:cs="Arial"/>
        </w:rPr>
        <w:tab/>
        <w:t xml:space="preserve">The servicing Human Resources office (HRO) must maintain notification records that certify each employee’s receipt and acknowledgment of the notice of furlough. Furlough records should be maintained in the servicing HRO for two years for future reporting. </w:t>
      </w:r>
    </w:p>
    <w:p w14:paraId="77778961" w14:textId="455B5C2A" w:rsidR="007F0D79" w:rsidRPr="00653DFD" w:rsidRDefault="00653DFD" w:rsidP="00653DFD">
      <w:pPr>
        <w:shd w:val="clear" w:color="auto" w:fill="FFFFFF"/>
        <w:spacing w:after="240"/>
        <w:ind w:left="994"/>
        <w:rPr>
          <w:rFonts w:ascii="Arial" w:hAnsi="Arial" w:cs="Arial"/>
        </w:rPr>
      </w:pPr>
      <w:r w:rsidRPr="00653DFD">
        <w:rPr>
          <w:rFonts w:ascii="Arial" w:hAnsi="Arial" w:cs="Arial"/>
        </w:rPr>
        <w:t>e.</w:t>
      </w:r>
      <w:r w:rsidRPr="00653DFD">
        <w:rPr>
          <w:rFonts w:ascii="Arial" w:hAnsi="Arial" w:cs="Arial"/>
        </w:rPr>
        <w:tab/>
        <w:t xml:space="preserve">The manager and supervisor must ensure timecards are processed, approved, and released for all “excepted” employees working during the furlough. Since “nonexcepted” employees will not be working and will be in a non-pay status, timecards for “nonexcepted” employees should not be processed, </w:t>
      </w:r>
      <w:proofErr w:type="gramStart"/>
      <w:r w:rsidRPr="00653DFD">
        <w:rPr>
          <w:rFonts w:ascii="Arial" w:hAnsi="Arial" w:cs="Arial"/>
        </w:rPr>
        <w:t>approved</w:t>
      </w:r>
      <w:proofErr w:type="gramEnd"/>
      <w:r w:rsidRPr="00653DFD">
        <w:rPr>
          <w:rFonts w:ascii="Arial" w:hAnsi="Arial" w:cs="Arial"/>
        </w:rPr>
        <w:t xml:space="preserve"> and released during the furlough period.</w:t>
      </w:r>
    </w:p>
    <w:p w14:paraId="3FDE4500" w14:textId="77777777" w:rsidR="007F0D79" w:rsidRPr="00653DFD" w:rsidRDefault="007F0D79" w:rsidP="00653DFD">
      <w:pPr>
        <w:shd w:val="clear" w:color="auto" w:fill="FFFFFF"/>
        <w:rPr>
          <w:rFonts w:ascii="Arial" w:hAnsi="Arial" w:cs="Arial"/>
        </w:rPr>
      </w:pPr>
    </w:p>
    <w:p w14:paraId="4D09E718" w14:textId="4FE91B77" w:rsidR="007F0D79" w:rsidRPr="00653DFD" w:rsidRDefault="00653DFD" w:rsidP="00653DFD">
      <w:pPr>
        <w:shd w:val="clear" w:color="auto" w:fill="FFFFFF"/>
        <w:rPr>
          <w:rFonts w:ascii="Arial" w:hAnsi="Arial" w:cs="Arial"/>
          <w:b/>
          <w:bCs/>
        </w:rPr>
      </w:pPr>
      <w:r w:rsidRPr="00653DFD">
        <w:rPr>
          <w:rFonts w:ascii="Arial" w:hAnsi="Arial" w:cs="Arial"/>
        </w:rPr>
        <w:lastRenderedPageBreak/>
        <w:t xml:space="preserve">6.  </w:t>
      </w:r>
      <w:r w:rsidRPr="00653DFD">
        <w:rPr>
          <w:rFonts w:ascii="Arial" w:hAnsi="Arial" w:cs="Arial"/>
          <w:b/>
          <w:bCs/>
        </w:rPr>
        <w:t>End of Furlough.</w:t>
      </w:r>
    </w:p>
    <w:p w14:paraId="3CCF78D3" w14:textId="77777777" w:rsidR="00653DFD" w:rsidRPr="00653DFD" w:rsidRDefault="00653DFD" w:rsidP="00653DFD">
      <w:pPr>
        <w:shd w:val="clear" w:color="auto" w:fill="FFFFFF"/>
        <w:rPr>
          <w:rFonts w:ascii="Arial" w:hAnsi="Arial" w:cs="Arial"/>
        </w:rPr>
      </w:pPr>
    </w:p>
    <w:p w14:paraId="3EC99739" w14:textId="77777777" w:rsidR="00653DFD" w:rsidRPr="00653DFD" w:rsidRDefault="00653DFD" w:rsidP="000E008D">
      <w:pPr>
        <w:shd w:val="clear" w:color="auto" w:fill="FFFFFF"/>
        <w:spacing w:after="240"/>
        <w:ind w:left="907"/>
        <w:rPr>
          <w:rFonts w:ascii="Arial" w:hAnsi="Arial" w:cs="Arial"/>
        </w:rPr>
      </w:pPr>
      <w:r w:rsidRPr="00653DFD">
        <w:rPr>
          <w:rFonts w:ascii="Arial" w:hAnsi="Arial" w:cs="Arial"/>
        </w:rPr>
        <w:t>a.</w:t>
      </w:r>
      <w:r w:rsidRPr="00653DFD">
        <w:rPr>
          <w:rFonts w:ascii="Arial" w:hAnsi="Arial" w:cs="Arial"/>
        </w:rPr>
        <w:tab/>
        <w:t xml:space="preserve">Furloughed employees should be instructed to check the VA website (va.gov), the Office of Personnel Management (OPM) website (opm.gov), and major news broadcasts for information on when to return to duty. Furloughed employees must return to work at the beginning of their next regularly scheduled tour of duty following notification that the emergency furlough period has ended. </w:t>
      </w:r>
    </w:p>
    <w:p w14:paraId="0FF3523F" w14:textId="56BB4397" w:rsidR="007F0D79" w:rsidRPr="00653DFD" w:rsidRDefault="00653DFD" w:rsidP="000E008D">
      <w:pPr>
        <w:shd w:val="clear" w:color="auto" w:fill="FFFFFF"/>
        <w:spacing w:after="240"/>
        <w:ind w:left="907"/>
        <w:rPr>
          <w:rFonts w:ascii="Arial" w:hAnsi="Arial" w:cs="Arial"/>
        </w:rPr>
      </w:pPr>
      <w:r w:rsidRPr="00653DFD">
        <w:rPr>
          <w:rFonts w:ascii="Arial" w:hAnsi="Arial" w:cs="Arial"/>
        </w:rPr>
        <w:t>b.</w:t>
      </w:r>
      <w:r w:rsidRPr="00653DFD">
        <w:rPr>
          <w:rFonts w:ascii="Arial" w:hAnsi="Arial" w:cs="Arial"/>
        </w:rPr>
        <w:tab/>
        <w:t>Managers and Supervisors may communicate to their employees that the emergency furlough period has ended. This communication can be sent to an employee’s personal contact (i.e., home email, personal cell phone, home phone).</w:t>
      </w:r>
    </w:p>
    <w:p w14:paraId="0246A701" w14:textId="77777777" w:rsidR="000E008D" w:rsidRPr="000E008D" w:rsidRDefault="000E008D" w:rsidP="000E008D">
      <w:pPr>
        <w:shd w:val="clear" w:color="auto" w:fill="FFFFFF"/>
        <w:spacing w:after="240"/>
        <w:rPr>
          <w:rFonts w:ascii="Arial" w:hAnsi="Arial" w:cs="Arial"/>
        </w:rPr>
      </w:pPr>
      <w:r w:rsidRPr="000E008D">
        <w:rPr>
          <w:rFonts w:ascii="Arial" w:hAnsi="Arial" w:cs="Arial"/>
        </w:rPr>
        <w:t xml:space="preserve">Employees that do not return to work at the beginning of their next regularly scheduled tour of duty will be determined to be absent without leave (AWOL) and placed in non-pay status. Employees that had approved scheduled leave interrupted </w:t>
      </w:r>
      <w:proofErr w:type="gramStart"/>
      <w:r w:rsidRPr="000E008D">
        <w:rPr>
          <w:rFonts w:ascii="Arial" w:hAnsi="Arial" w:cs="Arial"/>
        </w:rPr>
        <w:t>as a result of</w:t>
      </w:r>
      <w:proofErr w:type="gramEnd"/>
      <w:r w:rsidRPr="000E008D">
        <w:rPr>
          <w:rFonts w:ascii="Arial" w:hAnsi="Arial" w:cs="Arial"/>
        </w:rPr>
        <w:t xml:space="preserve"> the furlough should defer to their supervisor to confirm if they should resume the leave after the furlough.</w:t>
      </w:r>
    </w:p>
    <w:p w14:paraId="04A6FC27" w14:textId="3311ECD1" w:rsidR="007F0D79" w:rsidRPr="00653DFD" w:rsidRDefault="000E008D" w:rsidP="000E008D">
      <w:pPr>
        <w:shd w:val="clear" w:color="auto" w:fill="FFFFFF"/>
        <w:spacing w:after="240"/>
        <w:rPr>
          <w:rFonts w:ascii="Arial" w:hAnsi="Arial" w:cs="Arial"/>
        </w:rPr>
      </w:pPr>
      <w:r w:rsidRPr="000E008D">
        <w:rPr>
          <w:rFonts w:ascii="Arial" w:hAnsi="Arial" w:cs="Arial"/>
        </w:rPr>
        <w:t>7.</w:t>
      </w:r>
      <w:r>
        <w:rPr>
          <w:rFonts w:ascii="Arial" w:hAnsi="Arial" w:cs="Arial"/>
        </w:rPr>
        <w:t xml:space="preserve">  </w:t>
      </w:r>
      <w:r w:rsidRPr="000E008D">
        <w:rPr>
          <w:rFonts w:ascii="Arial" w:hAnsi="Arial" w:cs="Arial"/>
          <w:b/>
          <w:bCs/>
        </w:rPr>
        <w:t>Pay, Benefits and Leave During Furlough.</w:t>
      </w:r>
    </w:p>
    <w:p w14:paraId="02BFB6E4" w14:textId="77777777" w:rsidR="000E008D" w:rsidRPr="000E008D" w:rsidRDefault="000E008D" w:rsidP="000E008D">
      <w:pPr>
        <w:shd w:val="clear" w:color="auto" w:fill="FFFFFF"/>
        <w:spacing w:after="240"/>
        <w:ind w:left="907"/>
        <w:rPr>
          <w:rFonts w:ascii="Arial" w:hAnsi="Arial" w:cs="Arial"/>
        </w:rPr>
      </w:pPr>
      <w:r w:rsidRPr="000E008D">
        <w:rPr>
          <w:rFonts w:ascii="Arial" w:hAnsi="Arial" w:cs="Arial"/>
        </w:rPr>
        <w:t>a.</w:t>
      </w:r>
      <w:r w:rsidRPr="000E008D">
        <w:rPr>
          <w:rFonts w:ascii="Arial" w:hAnsi="Arial" w:cs="Arial"/>
        </w:rPr>
        <w:tab/>
        <w:t xml:space="preserve">Furloughed employees are in a non-pay, nonduty status during an emergency furlough. Employees identified as “excepted” may or may not receive pay in the absence of appropriations. </w:t>
      </w:r>
    </w:p>
    <w:p w14:paraId="0FD7F377" w14:textId="77777777" w:rsidR="000E008D" w:rsidRPr="000E008D" w:rsidRDefault="000E008D" w:rsidP="000E008D">
      <w:pPr>
        <w:shd w:val="clear" w:color="auto" w:fill="FFFFFF"/>
        <w:spacing w:after="240"/>
        <w:ind w:left="907"/>
        <w:rPr>
          <w:rFonts w:ascii="Arial" w:hAnsi="Arial" w:cs="Arial"/>
        </w:rPr>
      </w:pPr>
      <w:r w:rsidRPr="000E008D">
        <w:rPr>
          <w:rFonts w:ascii="Arial" w:hAnsi="Arial" w:cs="Arial"/>
        </w:rPr>
        <w:t>b.</w:t>
      </w:r>
      <w:r w:rsidRPr="000E008D">
        <w:rPr>
          <w:rFonts w:ascii="Arial" w:hAnsi="Arial" w:cs="Arial"/>
        </w:rPr>
        <w:tab/>
        <w:t>Furloughed employees may be eligible for Unemployment Compensation, especially if they are on consecutive furlough days. Supervisors should provide each employee an SF-8 at the same time the furlough letter is issued. State Unemployment Compensation requirements differ. Agencies or employees should submit their questions to the appropriate state office within their geographic location.</w:t>
      </w:r>
    </w:p>
    <w:p w14:paraId="6AA3DD45" w14:textId="77777777" w:rsidR="000E008D" w:rsidRPr="000E008D" w:rsidRDefault="000E008D" w:rsidP="000E008D">
      <w:pPr>
        <w:shd w:val="clear" w:color="auto" w:fill="FFFFFF"/>
        <w:spacing w:after="240"/>
        <w:ind w:left="907"/>
        <w:rPr>
          <w:rFonts w:ascii="Arial" w:hAnsi="Arial" w:cs="Arial"/>
        </w:rPr>
      </w:pPr>
      <w:r w:rsidRPr="000E008D">
        <w:rPr>
          <w:rFonts w:ascii="Arial" w:hAnsi="Arial" w:cs="Arial"/>
        </w:rPr>
        <w:t xml:space="preserve">The SF-8 informs employees of their right to file a claim for Unemployment Compensation, explains the basic eligibility requirements, provides general information as to how, when, and where to file a claim, and describes the documents that the individual should take when filing a claim (20 C.F.R. § 609.20). Components must annotate the address and agency code of the separating federal agency where wage and separation information can be obtained. This document may be posted to an accessible automated information sharing site used to communicate useful and required information that would normally be attached to the furlough notice. </w:t>
      </w:r>
    </w:p>
    <w:p w14:paraId="2B6C8406" w14:textId="77777777" w:rsidR="000E008D" w:rsidRPr="000E008D" w:rsidRDefault="000E008D" w:rsidP="000E008D">
      <w:pPr>
        <w:shd w:val="clear" w:color="auto" w:fill="FFFFFF"/>
        <w:spacing w:after="240"/>
        <w:ind w:left="907"/>
        <w:rPr>
          <w:rFonts w:ascii="Arial" w:hAnsi="Arial" w:cs="Arial"/>
        </w:rPr>
      </w:pPr>
      <w:r w:rsidRPr="000E008D">
        <w:rPr>
          <w:rFonts w:ascii="Arial" w:hAnsi="Arial" w:cs="Arial"/>
        </w:rPr>
        <w:t>c.</w:t>
      </w:r>
      <w:r w:rsidRPr="000E008D">
        <w:rPr>
          <w:rFonts w:ascii="Arial" w:hAnsi="Arial" w:cs="Arial"/>
        </w:rPr>
        <w:tab/>
        <w:t xml:space="preserve">The furlough will have no effect on an employee’s entitlement to health and life insurance; and </w:t>
      </w:r>
    </w:p>
    <w:p w14:paraId="15241FAA" w14:textId="7D11997E" w:rsidR="007F0D79" w:rsidRPr="00653DFD" w:rsidRDefault="000E008D" w:rsidP="000E008D">
      <w:pPr>
        <w:shd w:val="clear" w:color="auto" w:fill="FFFFFF"/>
        <w:spacing w:after="240"/>
        <w:ind w:left="907"/>
        <w:rPr>
          <w:rFonts w:ascii="Arial" w:hAnsi="Arial" w:cs="Arial"/>
        </w:rPr>
      </w:pPr>
      <w:r w:rsidRPr="000E008D">
        <w:rPr>
          <w:rFonts w:ascii="Arial" w:hAnsi="Arial" w:cs="Arial"/>
        </w:rPr>
        <w:t>d.</w:t>
      </w:r>
      <w:r w:rsidRPr="000E008D">
        <w:rPr>
          <w:rFonts w:ascii="Arial" w:hAnsi="Arial" w:cs="Arial"/>
        </w:rPr>
        <w:tab/>
        <w:t>The furlough causes cancellation of any paid leave (annual, sick, court, etc.) previously approved or planned for use during the furlough period.</w:t>
      </w:r>
    </w:p>
    <w:p w14:paraId="25DF78C7" w14:textId="77777777" w:rsidR="007F0D79" w:rsidRPr="00653DFD" w:rsidRDefault="007F0D79" w:rsidP="00653DFD">
      <w:pPr>
        <w:shd w:val="clear" w:color="auto" w:fill="FFFFFF"/>
        <w:rPr>
          <w:rFonts w:ascii="Arial" w:hAnsi="Arial" w:cs="Arial"/>
        </w:rPr>
      </w:pPr>
    </w:p>
    <w:sectPr w:rsidR="007F0D79" w:rsidRPr="00653DFD" w:rsidSect="00637CDA">
      <w:headerReference w:type="default" r:id="rId8"/>
      <w:pgSz w:w="12240" w:h="15840" w:code="1"/>
      <w:pgMar w:top="806" w:right="1440" w:bottom="116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D40D" w14:textId="77777777" w:rsidR="007F3CA8" w:rsidRDefault="007F3CA8" w:rsidP="00730613">
      <w:r>
        <w:separator/>
      </w:r>
    </w:p>
  </w:endnote>
  <w:endnote w:type="continuationSeparator" w:id="0">
    <w:p w14:paraId="209B0DD7" w14:textId="77777777" w:rsidR="007F3CA8" w:rsidRDefault="007F3CA8" w:rsidP="0073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7AAB" w14:textId="77777777" w:rsidR="007F3CA8" w:rsidRDefault="007F3CA8" w:rsidP="00730613">
      <w:r>
        <w:separator/>
      </w:r>
    </w:p>
  </w:footnote>
  <w:footnote w:type="continuationSeparator" w:id="0">
    <w:p w14:paraId="7ADAA604" w14:textId="77777777" w:rsidR="007F3CA8" w:rsidRDefault="007F3CA8" w:rsidP="0073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8DC4" w14:textId="77777777" w:rsidR="006069F3" w:rsidRDefault="006069F3" w:rsidP="006069F3">
    <w:pPr>
      <w:pStyle w:val="Header"/>
    </w:pPr>
    <w:r>
      <w:t xml:space="preserve">Page </w:t>
    </w:r>
    <w:sdt>
      <w:sdtPr>
        <w:id w:val="20474843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84083">
          <w:rPr>
            <w:noProof/>
          </w:rPr>
          <w:t>2</w:t>
        </w:r>
        <w:r>
          <w:rPr>
            <w:noProof/>
          </w:rPr>
          <w:fldChar w:fldCharType="end"/>
        </w:r>
      </w:sdtContent>
    </w:sdt>
    <w:r w:rsidRPr="00761D69">
      <w:t xml:space="preserve"> </w:t>
    </w:r>
  </w:p>
  <w:p w14:paraId="199142F2" w14:textId="77777777" w:rsidR="008F747D" w:rsidRDefault="000E008D">
    <w:pPr>
      <w:pStyle w:val="Header"/>
    </w:pPr>
    <w:r w:rsidRPr="00653DFD">
      <w:rPr>
        <w:kern w:val="2"/>
      </w:rPr>
      <w:t>Lapse of Appropriation Implementation Procedures</w:t>
    </w:r>
    <w:r w:rsidR="00D20288">
      <w:tab/>
    </w:r>
  </w:p>
  <w:p w14:paraId="217A1778" w14:textId="62B26ED1" w:rsidR="00D20288" w:rsidRDefault="00D20288">
    <w:pPr>
      <w:pStyle w:val="Header"/>
    </w:pPr>
    <w:r>
      <w:t xml:space="preserve">                                                                                                                      </w:t>
    </w:r>
  </w:p>
  <w:p w14:paraId="72522A14" w14:textId="77777777" w:rsidR="008F747D" w:rsidRDefault="008F7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26"/>
    <w:multiLevelType w:val="hybridMultilevel"/>
    <w:tmpl w:val="24BA76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B5F18"/>
    <w:multiLevelType w:val="hybridMultilevel"/>
    <w:tmpl w:val="AFF8307A"/>
    <w:lvl w:ilvl="0" w:tplc="0409000F">
      <w:start w:val="1"/>
      <w:numFmt w:val="decimal"/>
      <w:lvlText w:val="%1."/>
      <w:lvlJc w:val="left"/>
      <w:pPr>
        <w:tabs>
          <w:tab w:val="num" w:pos="360"/>
        </w:tabs>
        <w:ind w:left="360" w:hanging="360"/>
      </w:pPr>
      <w:rPr>
        <w:rFonts w:cs="Times New Roman"/>
      </w:rPr>
    </w:lvl>
    <w:lvl w:ilvl="1" w:tplc="DFA4316C">
      <w:start w:val="1"/>
      <w:numFmt w:val="decimal"/>
      <w:lvlText w:val="%2."/>
      <w:lvlJc w:val="left"/>
      <w:pPr>
        <w:tabs>
          <w:tab w:val="num" w:pos="1080"/>
        </w:tabs>
        <w:ind w:left="1080" w:hanging="360"/>
      </w:pPr>
      <w:rPr>
        <w:rFonts w:hint="default"/>
        <w:b w:val="0"/>
        <w:color w:val="auto"/>
        <w:sz w:val="24"/>
        <w:szCs w:val="24"/>
      </w:rPr>
    </w:lvl>
    <w:lvl w:ilvl="2" w:tplc="DF3A69C0">
      <w:start w:val="1"/>
      <w:numFmt w:val="decimal"/>
      <w:lvlText w:val="%3."/>
      <w:lvlJc w:val="left"/>
      <w:pPr>
        <w:tabs>
          <w:tab w:val="num" w:pos="1980"/>
        </w:tabs>
        <w:ind w:left="1980" w:hanging="360"/>
      </w:pPr>
      <w:rPr>
        <w:rFonts w:cs="Times New Roman"/>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7B6FB9"/>
    <w:multiLevelType w:val="hybridMultilevel"/>
    <w:tmpl w:val="511E803C"/>
    <w:lvl w:ilvl="0" w:tplc="CAEC7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D3D70"/>
    <w:multiLevelType w:val="hybridMultilevel"/>
    <w:tmpl w:val="FB42D2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651E4B"/>
    <w:multiLevelType w:val="hybridMultilevel"/>
    <w:tmpl w:val="4746DF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6E62BC"/>
    <w:multiLevelType w:val="hybridMultilevel"/>
    <w:tmpl w:val="E9B69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4583C"/>
    <w:multiLevelType w:val="hybridMultilevel"/>
    <w:tmpl w:val="7D3AAA68"/>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6C617F"/>
    <w:multiLevelType w:val="hybridMultilevel"/>
    <w:tmpl w:val="E432CFC2"/>
    <w:lvl w:ilvl="0" w:tplc="0409000F">
      <w:start w:val="1"/>
      <w:numFmt w:val="decimal"/>
      <w:lvlText w:val="%1."/>
      <w:lvlJc w:val="left"/>
      <w:pPr>
        <w:tabs>
          <w:tab w:val="num" w:pos="360"/>
        </w:tabs>
        <w:ind w:left="360" w:hanging="360"/>
      </w:pPr>
      <w:rPr>
        <w:rFonts w:cs="Times New Roman"/>
      </w:rPr>
    </w:lvl>
    <w:lvl w:ilvl="1" w:tplc="3C585822">
      <w:start w:val="1"/>
      <w:numFmt w:val="upperLetter"/>
      <w:lvlText w:val="%2."/>
      <w:lvlJc w:val="left"/>
      <w:pPr>
        <w:tabs>
          <w:tab w:val="num" w:pos="1080"/>
        </w:tabs>
        <w:ind w:left="1080" w:hanging="360"/>
      </w:pPr>
      <w:rPr>
        <w:rFonts w:ascii="Arial" w:eastAsia="Times New Roman" w:hAnsi="Arial" w:cs="Arial"/>
        <w:b w:val="0"/>
        <w:color w:val="auto"/>
        <w:sz w:val="24"/>
        <w:szCs w:val="24"/>
      </w:rPr>
    </w:lvl>
    <w:lvl w:ilvl="2" w:tplc="DF3A69C0">
      <w:start w:val="1"/>
      <w:numFmt w:val="decimal"/>
      <w:lvlText w:val="%3."/>
      <w:lvlJc w:val="left"/>
      <w:pPr>
        <w:tabs>
          <w:tab w:val="num" w:pos="1980"/>
        </w:tabs>
        <w:ind w:left="1980" w:hanging="360"/>
      </w:pPr>
      <w:rPr>
        <w:rFonts w:cs="Times New Roman"/>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E704A"/>
    <w:multiLevelType w:val="hybridMultilevel"/>
    <w:tmpl w:val="158E542C"/>
    <w:lvl w:ilvl="0" w:tplc="2362AC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872532"/>
    <w:multiLevelType w:val="hybridMultilevel"/>
    <w:tmpl w:val="3EA6D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911F9A"/>
    <w:multiLevelType w:val="hybridMultilevel"/>
    <w:tmpl w:val="D61ED842"/>
    <w:lvl w:ilvl="0" w:tplc="04090019">
      <w:start w:val="1"/>
      <w:numFmt w:val="lowerLetter"/>
      <w:lvlText w:val="%1."/>
      <w:lvlJc w:val="left"/>
      <w:pPr>
        <w:ind w:left="5490" w:hanging="360"/>
      </w:pPr>
    </w:lvl>
    <w:lvl w:ilvl="1" w:tplc="04090019">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11" w15:restartNumberingAfterBreak="0">
    <w:nsid w:val="293E6838"/>
    <w:multiLevelType w:val="hybridMultilevel"/>
    <w:tmpl w:val="E956446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A7169E1"/>
    <w:multiLevelType w:val="hybridMultilevel"/>
    <w:tmpl w:val="65168C9A"/>
    <w:lvl w:ilvl="0" w:tplc="699AB1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E790B"/>
    <w:multiLevelType w:val="hybridMultilevel"/>
    <w:tmpl w:val="AF2A8C70"/>
    <w:lvl w:ilvl="0" w:tplc="C8225C18">
      <w:start w:val="4"/>
      <w:numFmt w:val="decimal"/>
      <w:lvlText w:val="%1."/>
      <w:lvlJc w:val="left"/>
      <w:pPr>
        <w:ind w:left="1350" w:hanging="360"/>
      </w:pPr>
      <w:rPr>
        <w:rFonts w:hint="default"/>
        <w:b w:val="0"/>
        <w:i w:val="0"/>
        <w:sz w:val="24"/>
      </w:rPr>
    </w:lvl>
    <w:lvl w:ilvl="1" w:tplc="04090017">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D108CC"/>
    <w:multiLevelType w:val="hybridMultilevel"/>
    <w:tmpl w:val="96082B66"/>
    <w:lvl w:ilvl="0" w:tplc="BE4607A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5D27E72"/>
    <w:multiLevelType w:val="hybridMultilevel"/>
    <w:tmpl w:val="5ADC3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D6387"/>
    <w:multiLevelType w:val="hybridMultilevel"/>
    <w:tmpl w:val="ED849BDE"/>
    <w:lvl w:ilvl="0" w:tplc="04090011">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F2B158B"/>
    <w:multiLevelType w:val="hybridMultilevel"/>
    <w:tmpl w:val="48428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6060FF7"/>
    <w:multiLevelType w:val="hybridMultilevel"/>
    <w:tmpl w:val="586A5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B6D2D"/>
    <w:multiLevelType w:val="hybridMultilevel"/>
    <w:tmpl w:val="61568936"/>
    <w:lvl w:ilvl="0" w:tplc="891CA14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4B485C20"/>
    <w:multiLevelType w:val="hybridMultilevel"/>
    <w:tmpl w:val="2F24F0A4"/>
    <w:lvl w:ilvl="0" w:tplc="04090019">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DF21406"/>
    <w:multiLevelType w:val="hybridMultilevel"/>
    <w:tmpl w:val="E55C8F24"/>
    <w:lvl w:ilvl="0" w:tplc="04090017">
      <w:start w:val="1"/>
      <w:numFmt w:val="lowerLetter"/>
      <w:lvlText w:val="%1)"/>
      <w:lvlJc w:val="left"/>
      <w:pPr>
        <w:ind w:left="990" w:hanging="360"/>
      </w:pPr>
      <w:rPr>
        <w:rFonts w:hint="default"/>
        <w:b w:val="0"/>
        <w:i w:val="0"/>
        <w:sz w:val="24"/>
      </w:rPr>
    </w:lvl>
    <w:lvl w:ilvl="1" w:tplc="04090011">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0FD4748"/>
    <w:multiLevelType w:val="hybridMultilevel"/>
    <w:tmpl w:val="BFE653A2"/>
    <w:lvl w:ilvl="0" w:tplc="CAEC733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A0E63"/>
    <w:multiLevelType w:val="hybridMultilevel"/>
    <w:tmpl w:val="62585B4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51DD4CE0"/>
    <w:multiLevelType w:val="hybridMultilevel"/>
    <w:tmpl w:val="0964892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20833ED"/>
    <w:multiLevelType w:val="hybridMultilevel"/>
    <w:tmpl w:val="EC6448FE"/>
    <w:lvl w:ilvl="0" w:tplc="5D946B6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4051C58"/>
    <w:multiLevelType w:val="hybridMultilevel"/>
    <w:tmpl w:val="2446F1AC"/>
    <w:lvl w:ilvl="0" w:tplc="04090019">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6234E33"/>
    <w:multiLevelType w:val="hybridMultilevel"/>
    <w:tmpl w:val="7FD47B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2741D"/>
    <w:multiLevelType w:val="hybridMultilevel"/>
    <w:tmpl w:val="99666C40"/>
    <w:lvl w:ilvl="0" w:tplc="3E34C74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DA422DC"/>
    <w:multiLevelType w:val="hybridMultilevel"/>
    <w:tmpl w:val="85D26DA4"/>
    <w:lvl w:ilvl="0" w:tplc="8CBA252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C46F40"/>
    <w:multiLevelType w:val="hybridMultilevel"/>
    <w:tmpl w:val="2A1A8454"/>
    <w:lvl w:ilvl="0" w:tplc="FA5C3964">
      <w:start w:val="1"/>
      <w:numFmt w:val="decimal"/>
      <w:lvlText w:val="%1)"/>
      <w:lvlJc w:val="left"/>
      <w:pPr>
        <w:ind w:left="-315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31" w15:restartNumberingAfterBreak="0">
    <w:nsid w:val="7166336B"/>
    <w:multiLevelType w:val="hybridMultilevel"/>
    <w:tmpl w:val="8A544FAC"/>
    <w:lvl w:ilvl="0" w:tplc="0409000F">
      <w:start w:val="1"/>
      <w:numFmt w:val="decimal"/>
      <w:lvlText w:val="%1."/>
      <w:lvlJc w:val="left"/>
      <w:pPr>
        <w:ind w:left="900" w:hanging="360"/>
      </w:pPr>
      <w:rPr>
        <w:b w:val="0"/>
      </w:rPr>
    </w:lvl>
    <w:lvl w:ilvl="1" w:tplc="EB1EA29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C4425A"/>
    <w:multiLevelType w:val="hybridMultilevel"/>
    <w:tmpl w:val="463E2842"/>
    <w:lvl w:ilvl="0" w:tplc="403A41C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752431C1"/>
    <w:multiLevelType w:val="hybridMultilevel"/>
    <w:tmpl w:val="9C32A128"/>
    <w:lvl w:ilvl="0" w:tplc="F128303C">
      <w:start w:val="1"/>
      <w:numFmt w:val="upperLetter"/>
      <w:lvlText w:val="%1."/>
      <w:lvlJc w:val="left"/>
      <w:pPr>
        <w:ind w:left="1080" w:hanging="360"/>
      </w:pPr>
      <w:rPr>
        <w:rFonts w:cs="Times New Roman"/>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5535592"/>
    <w:multiLevelType w:val="hybridMultilevel"/>
    <w:tmpl w:val="D5F014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C4A66"/>
    <w:multiLevelType w:val="hybridMultilevel"/>
    <w:tmpl w:val="9B408F7E"/>
    <w:lvl w:ilvl="0" w:tplc="33709AA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781A59C3"/>
    <w:multiLevelType w:val="hybridMultilevel"/>
    <w:tmpl w:val="FC365A86"/>
    <w:lvl w:ilvl="0" w:tplc="0980EE7E">
      <w:start w:val="1"/>
      <w:numFmt w:val="lowerLetter"/>
      <w:lvlText w:val="%1."/>
      <w:lvlJc w:val="left"/>
      <w:pPr>
        <w:ind w:left="-1710" w:hanging="63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37" w15:restartNumberingAfterBreak="0">
    <w:nsid w:val="79214A73"/>
    <w:multiLevelType w:val="hybridMultilevel"/>
    <w:tmpl w:val="1DD02892"/>
    <w:lvl w:ilvl="0" w:tplc="04090019">
      <w:start w:val="1"/>
      <w:numFmt w:val="lowerLetter"/>
      <w:lvlText w:val="%1."/>
      <w:lvlJc w:val="left"/>
      <w:pPr>
        <w:ind w:left="630" w:hanging="360"/>
      </w:pPr>
      <w:rPr>
        <w:rFonts w:hint="default"/>
        <w:b w:val="0"/>
      </w:rPr>
    </w:lvl>
    <w:lvl w:ilvl="1" w:tplc="0409000F">
      <w:start w:val="1"/>
      <w:numFmt w:val="decimal"/>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9B308EA"/>
    <w:multiLevelType w:val="hybridMultilevel"/>
    <w:tmpl w:val="EEBC482E"/>
    <w:lvl w:ilvl="0" w:tplc="76E2278A">
      <w:start w:val="1"/>
      <w:numFmt w:val="lowerLetter"/>
      <w:lvlText w:val="%1."/>
      <w:lvlJc w:val="left"/>
      <w:pPr>
        <w:ind w:left="1260" w:hanging="360"/>
      </w:pPr>
      <w:rPr>
        <w:rFonts w:ascii="Arial" w:eastAsia="Times New Roma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AF848A1"/>
    <w:multiLevelType w:val="hybridMultilevel"/>
    <w:tmpl w:val="59EAC28C"/>
    <w:lvl w:ilvl="0" w:tplc="04090015">
      <w:start w:val="1"/>
      <w:numFmt w:val="upperLetter"/>
      <w:lvlText w:val="%1."/>
      <w:lvlJc w:val="left"/>
      <w:pPr>
        <w:ind w:left="99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C0370"/>
    <w:multiLevelType w:val="hybridMultilevel"/>
    <w:tmpl w:val="D208F666"/>
    <w:lvl w:ilvl="0" w:tplc="04090017">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170" w:hanging="360"/>
      </w:pPr>
    </w:lvl>
    <w:lvl w:ilvl="2" w:tplc="0409001B">
      <w:start w:val="1"/>
      <w:numFmt w:val="lowerRoman"/>
      <w:lvlText w:val="%3."/>
      <w:lvlJc w:val="right"/>
      <w:pPr>
        <w:ind w:left="144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2754005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62779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058608">
    <w:abstractNumId w:val="7"/>
  </w:num>
  <w:num w:numId="4" w16cid:durableId="1369841965">
    <w:abstractNumId w:val="23"/>
  </w:num>
  <w:num w:numId="5" w16cid:durableId="1511532095">
    <w:abstractNumId w:val="9"/>
  </w:num>
  <w:num w:numId="6" w16cid:durableId="1052315324">
    <w:abstractNumId w:val="12"/>
  </w:num>
  <w:num w:numId="7" w16cid:durableId="1288051369">
    <w:abstractNumId w:val="18"/>
  </w:num>
  <w:num w:numId="8" w16cid:durableId="1844121259">
    <w:abstractNumId w:val="22"/>
  </w:num>
  <w:num w:numId="9" w16cid:durableId="214901228">
    <w:abstractNumId w:val="2"/>
  </w:num>
  <w:num w:numId="10" w16cid:durableId="1671835360">
    <w:abstractNumId w:val="24"/>
  </w:num>
  <w:num w:numId="11" w16cid:durableId="1461918811">
    <w:abstractNumId w:val="21"/>
  </w:num>
  <w:num w:numId="12" w16cid:durableId="975455452">
    <w:abstractNumId w:val="15"/>
  </w:num>
  <w:num w:numId="13" w16cid:durableId="220679916">
    <w:abstractNumId w:val="4"/>
  </w:num>
  <w:num w:numId="14" w16cid:durableId="214126004">
    <w:abstractNumId w:val="1"/>
  </w:num>
  <w:num w:numId="15" w16cid:durableId="1061055371">
    <w:abstractNumId w:val="40"/>
  </w:num>
  <w:num w:numId="16" w16cid:durableId="337005946">
    <w:abstractNumId w:val="39"/>
  </w:num>
  <w:num w:numId="17" w16cid:durableId="504633966">
    <w:abstractNumId w:val="6"/>
  </w:num>
  <w:num w:numId="18" w16cid:durableId="75829218">
    <w:abstractNumId w:val="0"/>
  </w:num>
  <w:num w:numId="19" w16cid:durableId="153570797">
    <w:abstractNumId w:val="31"/>
  </w:num>
  <w:num w:numId="20" w16cid:durableId="619843003">
    <w:abstractNumId w:val="13"/>
  </w:num>
  <w:num w:numId="21" w16cid:durableId="2143302040">
    <w:abstractNumId w:val="10"/>
  </w:num>
  <w:num w:numId="22" w16cid:durableId="566496774">
    <w:abstractNumId w:val="20"/>
  </w:num>
  <w:num w:numId="23" w16cid:durableId="1220946343">
    <w:abstractNumId w:val="35"/>
  </w:num>
  <w:num w:numId="24" w16cid:durableId="1542665794">
    <w:abstractNumId w:val="29"/>
  </w:num>
  <w:num w:numId="25" w16cid:durableId="783499093">
    <w:abstractNumId w:val="8"/>
  </w:num>
  <w:num w:numId="26" w16cid:durableId="976033592">
    <w:abstractNumId w:val="34"/>
  </w:num>
  <w:num w:numId="27" w16cid:durableId="464087107">
    <w:abstractNumId w:val="16"/>
  </w:num>
  <w:num w:numId="28" w16cid:durableId="1778283453">
    <w:abstractNumId w:val="26"/>
  </w:num>
  <w:num w:numId="29" w16cid:durableId="115149371">
    <w:abstractNumId w:val="11"/>
  </w:num>
  <w:num w:numId="30" w16cid:durableId="451825282">
    <w:abstractNumId w:val="17"/>
  </w:num>
  <w:num w:numId="31" w16cid:durableId="163597685">
    <w:abstractNumId w:val="3"/>
  </w:num>
  <w:num w:numId="32" w16cid:durableId="1613441407">
    <w:abstractNumId w:val="38"/>
  </w:num>
  <w:num w:numId="33" w16cid:durableId="750352239">
    <w:abstractNumId w:val="27"/>
  </w:num>
  <w:num w:numId="34" w16cid:durableId="591856771">
    <w:abstractNumId w:val="36"/>
  </w:num>
  <w:num w:numId="35" w16cid:durableId="561984549">
    <w:abstractNumId w:val="14"/>
  </w:num>
  <w:num w:numId="36" w16cid:durableId="1206868855">
    <w:abstractNumId w:val="28"/>
  </w:num>
  <w:num w:numId="37" w16cid:durableId="158205064">
    <w:abstractNumId w:val="25"/>
  </w:num>
  <w:num w:numId="38" w16cid:durableId="1219320398">
    <w:abstractNumId w:val="5"/>
  </w:num>
  <w:num w:numId="39" w16cid:durableId="456340803">
    <w:abstractNumId w:val="32"/>
  </w:num>
  <w:num w:numId="40" w16cid:durableId="1157189970">
    <w:abstractNumId w:val="30"/>
  </w:num>
  <w:num w:numId="41" w16cid:durableId="1043793736">
    <w:abstractNumId w:val="19"/>
  </w:num>
  <w:num w:numId="42" w16cid:durableId="9872502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7C6"/>
    <w:rsid w:val="00000655"/>
    <w:rsid w:val="00005DCD"/>
    <w:rsid w:val="00006087"/>
    <w:rsid w:val="00020F55"/>
    <w:rsid w:val="00022B20"/>
    <w:rsid w:val="00025DBD"/>
    <w:rsid w:val="00030773"/>
    <w:rsid w:val="00031B0A"/>
    <w:rsid w:val="000347FD"/>
    <w:rsid w:val="000407CB"/>
    <w:rsid w:val="00040C62"/>
    <w:rsid w:val="000414EE"/>
    <w:rsid w:val="00046B9E"/>
    <w:rsid w:val="000500B0"/>
    <w:rsid w:val="00054B77"/>
    <w:rsid w:val="0005661C"/>
    <w:rsid w:val="00062782"/>
    <w:rsid w:val="000631E5"/>
    <w:rsid w:val="0006364C"/>
    <w:rsid w:val="0006406D"/>
    <w:rsid w:val="0006729F"/>
    <w:rsid w:val="000A439B"/>
    <w:rsid w:val="000A564C"/>
    <w:rsid w:val="000A5CCB"/>
    <w:rsid w:val="000D2964"/>
    <w:rsid w:val="000D711A"/>
    <w:rsid w:val="000E008D"/>
    <w:rsid w:val="000F2274"/>
    <w:rsid w:val="000F2D68"/>
    <w:rsid w:val="000F64BB"/>
    <w:rsid w:val="000F7384"/>
    <w:rsid w:val="0010449A"/>
    <w:rsid w:val="001109FC"/>
    <w:rsid w:val="00111AC5"/>
    <w:rsid w:val="001167DD"/>
    <w:rsid w:val="00151663"/>
    <w:rsid w:val="00156836"/>
    <w:rsid w:val="00160525"/>
    <w:rsid w:val="001707F0"/>
    <w:rsid w:val="00173699"/>
    <w:rsid w:val="001749FF"/>
    <w:rsid w:val="00191A22"/>
    <w:rsid w:val="001950B7"/>
    <w:rsid w:val="001A6292"/>
    <w:rsid w:val="001B5308"/>
    <w:rsid w:val="001C4E2E"/>
    <w:rsid w:val="001D33EC"/>
    <w:rsid w:val="001D3C5C"/>
    <w:rsid w:val="001D417E"/>
    <w:rsid w:val="001E75CE"/>
    <w:rsid w:val="001F6EB8"/>
    <w:rsid w:val="00200E74"/>
    <w:rsid w:val="00203293"/>
    <w:rsid w:val="0020639B"/>
    <w:rsid w:val="00210144"/>
    <w:rsid w:val="00226E0E"/>
    <w:rsid w:val="002334F2"/>
    <w:rsid w:val="00240329"/>
    <w:rsid w:val="00243244"/>
    <w:rsid w:val="00244682"/>
    <w:rsid w:val="00244700"/>
    <w:rsid w:val="002458A1"/>
    <w:rsid w:val="00245DA1"/>
    <w:rsid w:val="00246488"/>
    <w:rsid w:val="00253499"/>
    <w:rsid w:val="00254EBE"/>
    <w:rsid w:val="002736BF"/>
    <w:rsid w:val="0027469D"/>
    <w:rsid w:val="00283484"/>
    <w:rsid w:val="00286FDF"/>
    <w:rsid w:val="002A5A4D"/>
    <w:rsid w:val="002B7C73"/>
    <w:rsid w:val="002C3ECC"/>
    <w:rsid w:val="002C7D2F"/>
    <w:rsid w:val="002D306A"/>
    <w:rsid w:val="002E3ACF"/>
    <w:rsid w:val="002E3E4B"/>
    <w:rsid w:val="00300051"/>
    <w:rsid w:val="003000B2"/>
    <w:rsid w:val="003013A9"/>
    <w:rsid w:val="0030539B"/>
    <w:rsid w:val="00310A01"/>
    <w:rsid w:val="0034608F"/>
    <w:rsid w:val="0034709A"/>
    <w:rsid w:val="00351A4E"/>
    <w:rsid w:val="0036113B"/>
    <w:rsid w:val="003629B5"/>
    <w:rsid w:val="003669AE"/>
    <w:rsid w:val="003747A3"/>
    <w:rsid w:val="00386D09"/>
    <w:rsid w:val="003A2259"/>
    <w:rsid w:val="003B6AAE"/>
    <w:rsid w:val="003B7C7A"/>
    <w:rsid w:val="003C2FFF"/>
    <w:rsid w:val="003F0772"/>
    <w:rsid w:val="003F4B0F"/>
    <w:rsid w:val="0040670A"/>
    <w:rsid w:val="00407DB5"/>
    <w:rsid w:val="0041081D"/>
    <w:rsid w:val="00411717"/>
    <w:rsid w:val="00413113"/>
    <w:rsid w:val="00417696"/>
    <w:rsid w:val="004253E5"/>
    <w:rsid w:val="004272D8"/>
    <w:rsid w:val="004273F0"/>
    <w:rsid w:val="0044119C"/>
    <w:rsid w:val="00444F2B"/>
    <w:rsid w:val="0045342D"/>
    <w:rsid w:val="00454A1B"/>
    <w:rsid w:val="00456A80"/>
    <w:rsid w:val="004627CB"/>
    <w:rsid w:val="00463427"/>
    <w:rsid w:val="004819A4"/>
    <w:rsid w:val="00484083"/>
    <w:rsid w:val="00486CB3"/>
    <w:rsid w:val="0049066A"/>
    <w:rsid w:val="004963D9"/>
    <w:rsid w:val="004A287B"/>
    <w:rsid w:val="004A41E7"/>
    <w:rsid w:val="004B453A"/>
    <w:rsid w:val="004D422E"/>
    <w:rsid w:val="004E476A"/>
    <w:rsid w:val="004E4D32"/>
    <w:rsid w:val="004E6778"/>
    <w:rsid w:val="004F0DB0"/>
    <w:rsid w:val="004F7D7B"/>
    <w:rsid w:val="00500425"/>
    <w:rsid w:val="0050335F"/>
    <w:rsid w:val="00515099"/>
    <w:rsid w:val="00517574"/>
    <w:rsid w:val="00520116"/>
    <w:rsid w:val="0055026D"/>
    <w:rsid w:val="005643F9"/>
    <w:rsid w:val="00565C2A"/>
    <w:rsid w:val="00581C58"/>
    <w:rsid w:val="0058286E"/>
    <w:rsid w:val="0058484E"/>
    <w:rsid w:val="005850F2"/>
    <w:rsid w:val="005954F1"/>
    <w:rsid w:val="005B20A6"/>
    <w:rsid w:val="005B5EA5"/>
    <w:rsid w:val="005C1380"/>
    <w:rsid w:val="00603A37"/>
    <w:rsid w:val="00604966"/>
    <w:rsid w:val="006069F3"/>
    <w:rsid w:val="00607F94"/>
    <w:rsid w:val="006153CD"/>
    <w:rsid w:val="006175DE"/>
    <w:rsid w:val="00632DC5"/>
    <w:rsid w:val="00637CDA"/>
    <w:rsid w:val="00644DE9"/>
    <w:rsid w:val="006457D8"/>
    <w:rsid w:val="00653B18"/>
    <w:rsid w:val="00653DFD"/>
    <w:rsid w:val="00655B35"/>
    <w:rsid w:val="0065613C"/>
    <w:rsid w:val="00674D4F"/>
    <w:rsid w:val="00680CDB"/>
    <w:rsid w:val="00682700"/>
    <w:rsid w:val="00691248"/>
    <w:rsid w:val="006A3D71"/>
    <w:rsid w:val="006B5D2A"/>
    <w:rsid w:val="006C362D"/>
    <w:rsid w:val="006C4871"/>
    <w:rsid w:val="006D406B"/>
    <w:rsid w:val="006E66D8"/>
    <w:rsid w:val="006F2D06"/>
    <w:rsid w:val="006F5766"/>
    <w:rsid w:val="006F78EA"/>
    <w:rsid w:val="0071112E"/>
    <w:rsid w:val="007176E2"/>
    <w:rsid w:val="00720AC9"/>
    <w:rsid w:val="00726C32"/>
    <w:rsid w:val="00730613"/>
    <w:rsid w:val="00750BB6"/>
    <w:rsid w:val="0076600D"/>
    <w:rsid w:val="0077387C"/>
    <w:rsid w:val="007756CC"/>
    <w:rsid w:val="00775D66"/>
    <w:rsid w:val="00775F2B"/>
    <w:rsid w:val="00790D5A"/>
    <w:rsid w:val="00794A7D"/>
    <w:rsid w:val="007A05CB"/>
    <w:rsid w:val="007A3BB8"/>
    <w:rsid w:val="007A6B43"/>
    <w:rsid w:val="007B1CFE"/>
    <w:rsid w:val="007C7F6C"/>
    <w:rsid w:val="007E718D"/>
    <w:rsid w:val="007F000A"/>
    <w:rsid w:val="007F0D79"/>
    <w:rsid w:val="007F1951"/>
    <w:rsid w:val="007F19E4"/>
    <w:rsid w:val="007F3CA8"/>
    <w:rsid w:val="007F451E"/>
    <w:rsid w:val="00803316"/>
    <w:rsid w:val="00805171"/>
    <w:rsid w:val="00807DA4"/>
    <w:rsid w:val="00823AE8"/>
    <w:rsid w:val="00823F7C"/>
    <w:rsid w:val="00824BE2"/>
    <w:rsid w:val="00825D86"/>
    <w:rsid w:val="0084456E"/>
    <w:rsid w:val="00852546"/>
    <w:rsid w:val="008533D2"/>
    <w:rsid w:val="008540F8"/>
    <w:rsid w:val="00863AE6"/>
    <w:rsid w:val="00874C48"/>
    <w:rsid w:val="00885D8B"/>
    <w:rsid w:val="00891881"/>
    <w:rsid w:val="00893906"/>
    <w:rsid w:val="008A4015"/>
    <w:rsid w:val="008A5713"/>
    <w:rsid w:val="008B0E6E"/>
    <w:rsid w:val="008B1870"/>
    <w:rsid w:val="008B25A3"/>
    <w:rsid w:val="008B4919"/>
    <w:rsid w:val="008C7A83"/>
    <w:rsid w:val="008D457E"/>
    <w:rsid w:val="008E10F4"/>
    <w:rsid w:val="008F0148"/>
    <w:rsid w:val="008F12A0"/>
    <w:rsid w:val="008F747D"/>
    <w:rsid w:val="008F782A"/>
    <w:rsid w:val="009135BB"/>
    <w:rsid w:val="00921A38"/>
    <w:rsid w:val="0092436E"/>
    <w:rsid w:val="009339BF"/>
    <w:rsid w:val="00942E6F"/>
    <w:rsid w:val="009461B9"/>
    <w:rsid w:val="009552B8"/>
    <w:rsid w:val="009563DD"/>
    <w:rsid w:val="00956C30"/>
    <w:rsid w:val="009610A7"/>
    <w:rsid w:val="00961D33"/>
    <w:rsid w:val="0097135E"/>
    <w:rsid w:val="00972B1D"/>
    <w:rsid w:val="009761CE"/>
    <w:rsid w:val="0098233A"/>
    <w:rsid w:val="009A1B02"/>
    <w:rsid w:val="009A525B"/>
    <w:rsid w:val="009B199B"/>
    <w:rsid w:val="009C3C02"/>
    <w:rsid w:val="009D6192"/>
    <w:rsid w:val="009D6836"/>
    <w:rsid w:val="009E284F"/>
    <w:rsid w:val="009E28AB"/>
    <w:rsid w:val="009F5683"/>
    <w:rsid w:val="00A0010F"/>
    <w:rsid w:val="00A102C6"/>
    <w:rsid w:val="00A131B4"/>
    <w:rsid w:val="00A202BF"/>
    <w:rsid w:val="00A333F1"/>
    <w:rsid w:val="00A3440E"/>
    <w:rsid w:val="00A35765"/>
    <w:rsid w:val="00A65387"/>
    <w:rsid w:val="00A814D0"/>
    <w:rsid w:val="00A87C87"/>
    <w:rsid w:val="00A931C4"/>
    <w:rsid w:val="00AB1594"/>
    <w:rsid w:val="00AB3A4E"/>
    <w:rsid w:val="00AB47DB"/>
    <w:rsid w:val="00AB4A7F"/>
    <w:rsid w:val="00AC6C12"/>
    <w:rsid w:val="00AE1A90"/>
    <w:rsid w:val="00AE2360"/>
    <w:rsid w:val="00AE3719"/>
    <w:rsid w:val="00AE3C92"/>
    <w:rsid w:val="00AE4DA4"/>
    <w:rsid w:val="00AE7B1D"/>
    <w:rsid w:val="00AF07E5"/>
    <w:rsid w:val="00AF61B1"/>
    <w:rsid w:val="00AF7AAD"/>
    <w:rsid w:val="00B02EE9"/>
    <w:rsid w:val="00B0597A"/>
    <w:rsid w:val="00B0640C"/>
    <w:rsid w:val="00B135F0"/>
    <w:rsid w:val="00B15923"/>
    <w:rsid w:val="00B30B45"/>
    <w:rsid w:val="00B41C14"/>
    <w:rsid w:val="00B445AF"/>
    <w:rsid w:val="00B445E5"/>
    <w:rsid w:val="00B62FEE"/>
    <w:rsid w:val="00B70AE1"/>
    <w:rsid w:val="00B728CF"/>
    <w:rsid w:val="00B75843"/>
    <w:rsid w:val="00B76A71"/>
    <w:rsid w:val="00B84A3B"/>
    <w:rsid w:val="00B91848"/>
    <w:rsid w:val="00B93732"/>
    <w:rsid w:val="00B96455"/>
    <w:rsid w:val="00BA29F9"/>
    <w:rsid w:val="00BA2AFF"/>
    <w:rsid w:val="00BA777A"/>
    <w:rsid w:val="00BC7F17"/>
    <w:rsid w:val="00BD474F"/>
    <w:rsid w:val="00BE3B07"/>
    <w:rsid w:val="00C054FE"/>
    <w:rsid w:val="00C10252"/>
    <w:rsid w:val="00C10D1F"/>
    <w:rsid w:val="00C162F9"/>
    <w:rsid w:val="00C206E7"/>
    <w:rsid w:val="00C2540D"/>
    <w:rsid w:val="00C359D3"/>
    <w:rsid w:val="00C60DF0"/>
    <w:rsid w:val="00C64B42"/>
    <w:rsid w:val="00C75DF7"/>
    <w:rsid w:val="00C767DC"/>
    <w:rsid w:val="00C77BC4"/>
    <w:rsid w:val="00C86CA6"/>
    <w:rsid w:val="00C9253D"/>
    <w:rsid w:val="00C945F3"/>
    <w:rsid w:val="00C9629B"/>
    <w:rsid w:val="00CA5156"/>
    <w:rsid w:val="00CA5EC6"/>
    <w:rsid w:val="00CB29AD"/>
    <w:rsid w:val="00CB6E12"/>
    <w:rsid w:val="00CC0E1B"/>
    <w:rsid w:val="00CD11EA"/>
    <w:rsid w:val="00CD73E8"/>
    <w:rsid w:val="00CE1C6E"/>
    <w:rsid w:val="00CE56EC"/>
    <w:rsid w:val="00CE7298"/>
    <w:rsid w:val="00D03428"/>
    <w:rsid w:val="00D10EFE"/>
    <w:rsid w:val="00D20288"/>
    <w:rsid w:val="00D25578"/>
    <w:rsid w:val="00D35BF7"/>
    <w:rsid w:val="00D45485"/>
    <w:rsid w:val="00D637C6"/>
    <w:rsid w:val="00D713B9"/>
    <w:rsid w:val="00D75546"/>
    <w:rsid w:val="00D77A13"/>
    <w:rsid w:val="00D86167"/>
    <w:rsid w:val="00DA28F3"/>
    <w:rsid w:val="00DA6AB8"/>
    <w:rsid w:val="00DB0EAB"/>
    <w:rsid w:val="00DC0D08"/>
    <w:rsid w:val="00DC2429"/>
    <w:rsid w:val="00DC3E26"/>
    <w:rsid w:val="00DC62A5"/>
    <w:rsid w:val="00DD0455"/>
    <w:rsid w:val="00DD2220"/>
    <w:rsid w:val="00DD2315"/>
    <w:rsid w:val="00DD696B"/>
    <w:rsid w:val="00DE1524"/>
    <w:rsid w:val="00DE1657"/>
    <w:rsid w:val="00E01AF5"/>
    <w:rsid w:val="00E1181A"/>
    <w:rsid w:val="00E20505"/>
    <w:rsid w:val="00E213B6"/>
    <w:rsid w:val="00E23030"/>
    <w:rsid w:val="00E347E8"/>
    <w:rsid w:val="00E41816"/>
    <w:rsid w:val="00E434CB"/>
    <w:rsid w:val="00E44841"/>
    <w:rsid w:val="00E4616E"/>
    <w:rsid w:val="00E468B3"/>
    <w:rsid w:val="00E47DF9"/>
    <w:rsid w:val="00E51DB3"/>
    <w:rsid w:val="00E531AA"/>
    <w:rsid w:val="00E67BB9"/>
    <w:rsid w:val="00E70F0B"/>
    <w:rsid w:val="00E74C48"/>
    <w:rsid w:val="00E802DE"/>
    <w:rsid w:val="00E940B8"/>
    <w:rsid w:val="00E96621"/>
    <w:rsid w:val="00E96ADC"/>
    <w:rsid w:val="00EA4206"/>
    <w:rsid w:val="00EB5A23"/>
    <w:rsid w:val="00EC1266"/>
    <w:rsid w:val="00EC6C1D"/>
    <w:rsid w:val="00ED0A8C"/>
    <w:rsid w:val="00ED17FD"/>
    <w:rsid w:val="00ED4EFA"/>
    <w:rsid w:val="00ED6F61"/>
    <w:rsid w:val="00EE3385"/>
    <w:rsid w:val="00EF11D9"/>
    <w:rsid w:val="00EF6D5A"/>
    <w:rsid w:val="00F04EC5"/>
    <w:rsid w:val="00F0672B"/>
    <w:rsid w:val="00F13BAF"/>
    <w:rsid w:val="00F256C3"/>
    <w:rsid w:val="00F271E9"/>
    <w:rsid w:val="00F31865"/>
    <w:rsid w:val="00F6002A"/>
    <w:rsid w:val="00F609A9"/>
    <w:rsid w:val="00F66F77"/>
    <w:rsid w:val="00F73479"/>
    <w:rsid w:val="00F75068"/>
    <w:rsid w:val="00F75453"/>
    <w:rsid w:val="00F77601"/>
    <w:rsid w:val="00F8154A"/>
    <w:rsid w:val="00F83933"/>
    <w:rsid w:val="00F91A5D"/>
    <w:rsid w:val="00F96364"/>
    <w:rsid w:val="00FA410D"/>
    <w:rsid w:val="00FA4BCE"/>
    <w:rsid w:val="00FC2EEC"/>
    <w:rsid w:val="00FC4F39"/>
    <w:rsid w:val="00FD17D8"/>
    <w:rsid w:val="00FD6179"/>
    <w:rsid w:val="00FE3140"/>
    <w:rsid w:val="00FF0E84"/>
    <w:rsid w:val="00FF351C"/>
    <w:rsid w:val="00FF43AE"/>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D8484"/>
  <w15:docId w15:val="{C2E5273E-6E98-4B4E-9E5D-C8EE87AB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7C6"/>
    <w:rPr>
      <w:sz w:val="24"/>
      <w:szCs w:val="24"/>
    </w:rPr>
  </w:style>
  <w:style w:type="paragraph" w:styleId="Heading1">
    <w:name w:val="heading 1"/>
    <w:basedOn w:val="Normal"/>
    <w:next w:val="Normal"/>
    <w:link w:val="Heading1Char"/>
    <w:qFormat/>
    <w:rsid w:val="004F0D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637C6"/>
    <w:pPr>
      <w:autoSpaceDE w:val="0"/>
      <w:autoSpaceDN w:val="0"/>
      <w:adjustRightInd w:val="0"/>
      <w:outlineLvl w:val="1"/>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D637C6"/>
    <w:rPr>
      <w:rFonts w:ascii="Arial" w:hAnsi="Arial"/>
      <w:szCs w:val="24"/>
      <w:lang w:val="en-US" w:eastAsia="en-US" w:bidi="ar-SA"/>
    </w:rPr>
  </w:style>
  <w:style w:type="character" w:customStyle="1" w:styleId="BodyTextChar">
    <w:name w:val="Body Text Char"/>
    <w:basedOn w:val="DefaultParagraphFont"/>
    <w:link w:val="BodyText"/>
    <w:locked/>
    <w:rsid w:val="00D637C6"/>
    <w:rPr>
      <w:rFonts w:ascii="Arial" w:hAnsi="Arial"/>
      <w:sz w:val="24"/>
      <w:szCs w:val="24"/>
      <w:lang w:bidi="ar-SA"/>
    </w:rPr>
  </w:style>
  <w:style w:type="paragraph" w:styleId="BodyText">
    <w:name w:val="Body Text"/>
    <w:basedOn w:val="Normal"/>
    <w:link w:val="BodyTextChar"/>
    <w:rsid w:val="00D637C6"/>
    <w:pPr>
      <w:tabs>
        <w:tab w:val="left" w:pos="840"/>
      </w:tabs>
      <w:ind w:right="-450"/>
    </w:pPr>
    <w:rPr>
      <w:rFonts w:ascii="Arial" w:hAnsi="Arial"/>
    </w:rPr>
  </w:style>
  <w:style w:type="paragraph" w:customStyle="1" w:styleId="Default">
    <w:name w:val="Default"/>
    <w:rsid w:val="00D637C6"/>
    <w:pPr>
      <w:autoSpaceDE w:val="0"/>
      <w:autoSpaceDN w:val="0"/>
      <w:adjustRightInd w:val="0"/>
    </w:pPr>
    <w:rPr>
      <w:rFonts w:ascii="Arial" w:hAnsi="Arial" w:cs="Arial"/>
      <w:color w:val="000000"/>
      <w:sz w:val="24"/>
      <w:szCs w:val="24"/>
    </w:rPr>
  </w:style>
  <w:style w:type="paragraph" w:styleId="Header">
    <w:name w:val="header"/>
    <w:basedOn w:val="Normal"/>
    <w:link w:val="HeaderChar"/>
    <w:rsid w:val="002B7C73"/>
    <w:pPr>
      <w:tabs>
        <w:tab w:val="center" w:pos="4320"/>
        <w:tab w:val="right" w:pos="8640"/>
      </w:tabs>
    </w:pPr>
    <w:rPr>
      <w:rFonts w:ascii="Arial" w:hAnsi="Arial" w:cs="Arial"/>
    </w:rPr>
  </w:style>
  <w:style w:type="paragraph" w:styleId="ListParagraph">
    <w:name w:val="List Paragraph"/>
    <w:basedOn w:val="Normal"/>
    <w:uiPriority w:val="34"/>
    <w:qFormat/>
    <w:rsid w:val="00874C48"/>
    <w:pPr>
      <w:ind w:left="720"/>
    </w:pPr>
  </w:style>
  <w:style w:type="character" w:customStyle="1" w:styleId="HeaderChar">
    <w:name w:val="Header Char"/>
    <w:basedOn w:val="DefaultParagraphFont"/>
    <w:link w:val="Header"/>
    <w:rsid w:val="00581C58"/>
    <w:rPr>
      <w:rFonts w:ascii="Arial" w:hAnsi="Arial" w:cs="Arial"/>
      <w:sz w:val="24"/>
      <w:szCs w:val="24"/>
    </w:rPr>
  </w:style>
  <w:style w:type="character" w:styleId="Hyperlink">
    <w:name w:val="Hyperlink"/>
    <w:basedOn w:val="DefaultParagraphFont"/>
    <w:rsid w:val="00191A22"/>
    <w:rPr>
      <w:color w:val="0000FF"/>
      <w:u w:val="single"/>
    </w:rPr>
  </w:style>
  <w:style w:type="paragraph" w:styleId="Footer">
    <w:name w:val="footer"/>
    <w:basedOn w:val="Normal"/>
    <w:link w:val="FooterChar"/>
    <w:rsid w:val="00730613"/>
    <w:pPr>
      <w:tabs>
        <w:tab w:val="center" w:pos="4680"/>
        <w:tab w:val="right" w:pos="9360"/>
      </w:tabs>
    </w:pPr>
  </w:style>
  <w:style w:type="character" w:customStyle="1" w:styleId="FooterChar">
    <w:name w:val="Footer Char"/>
    <w:basedOn w:val="DefaultParagraphFont"/>
    <w:link w:val="Footer"/>
    <w:uiPriority w:val="99"/>
    <w:rsid w:val="00730613"/>
    <w:rPr>
      <w:sz w:val="24"/>
      <w:szCs w:val="24"/>
    </w:rPr>
  </w:style>
  <w:style w:type="paragraph" w:styleId="BalloonText">
    <w:name w:val="Balloon Text"/>
    <w:basedOn w:val="Normal"/>
    <w:link w:val="BalloonTextChar"/>
    <w:rsid w:val="0006406D"/>
    <w:rPr>
      <w:rFonts w:ascii="Tahoma" w:hAnsi="Tahoma" w:cs="Tahoma"/>
      <w:sz w:val="16"/>
      <w:szCs w:val="16"/>
    </w:rPr>
  </w:style>
  <w:style w:type="character" w:customStyle="1" w:styleId="BalloonTextChar">
    <w:name w:val="Balloon Text Char"/>
    <w:basedOn w:val="DefaultParagraphFont"/>
    <w:link w:val="BalloonText"/>
    <w:rsid w:val="0006406D"/>
    <w:rPr>
      <w:rFonts w:ascii="Tahoma" w:hAnsi="Tahoma" w:cs="Tahoma"/>
      <w:sz w:val="16"/>
      <w:szCs w:val="16"/>
    </w:rPr>
  </w:style>
  <w:style w:type="character" w:styleId="Emphasis">
    <w:name w:val="Emphasis"/>
    <w:basedOn w:val="DefaultParagraphFont"/>
    <w:qFormat/>
    <w:rsid w:val="004F0DB0"/>
    <w:rPr>
      <w:i/>
      <w:iCs/>
    </w:rPr>
  </w:style>
  <w:style w:type="character" w:customStyle="1" w:styleId="Heading1Char">
    <w:name w:val="Heading 1 Char"/>
    <w:basedOn w:val="DefaultParagraphFont"/>
    <w:link w:val="Heading1"/>
    <w:rsid w:val="004F0DB0"/>
    <w:rPr>
      <w:rFonts w:ascii="Cambria" w:eastAsia="Times New Roman" w:hAnsi="Cambria" w:cs="Times New Roman"/>
      <w:b/>
      <w:bCs/>
      <w:kern w:val="32"/>
      <w:sz w:val="32"/>
      <w:szCs w:val="32"/>
    </w:rPr>
  </w:style>
  <w:style w:type="character" w:styleId="CommentReference">
    <w:name w:val="annotation reference"/>
    <w:basedOn w:val="DefaultParagraphFont"/>
    <w:rsid w:val="003B6AAE"/>
    <w:rPr>
      <w:sz w:val="16"/>
      <w:szCs w:val="16"/>
    </w:rPr>
  </w:style>
  <w:style w:type="paragraph" w:styleId="CommentText">
    <w:name w:val="annotation text"/>
    <w:basedOn w:val="Normal"/>
    <w:link w:val="CommentTextChar"/>
    <w:rsid w:val="003B6AAE"/>
    <w:rPr>
      <w:sz w:val="20"/>
      <w:szCs w:val="20"/>
    </w:rPr>
  </w:style>
  <w:style w:type="character" w:customStyle="1" w:styleId="CommentTextChar">
    <w:name w:val="Comment Text Char"/>
    <w:basedOn w:val="DefaultParagraphFont"/>
    <w:link w:val="CommentText"/>
    <w:rsid w:val="003B6AAE"/>
  </w:style>
  <w:style w:type="paragraph" w:styleId="CommentSubject">
    <w:name w:val="annotation subject"/>
    <w:basedOn w:val="CommentText"/>
    <w:next w:val="CommentText"/>
    <w:link w:val="CommentSubjectChar"/>
    <w:rsid w:val="003B6AAE"/>
    <w:rPr>
      <w:b/>
      <w:bCs/>
    </w:rPr>
  </w:style>
  <w:style w:type="character" w:customStyle="1" w:styleId="CommentSubjectChar">
    <w:name w:val="Comment Subject Char"/>
    <w:basedOn w:val="CommentTextChar"/>
    <w:link w:val="CommentSubject"/>
    <w:rsid w:val="003B6AAE"/>
    <w:rPr>
      <w:b/>
      <w:bCs/>
    </w:rPr>
  </w:style>
  <w:style w:type="paragraph" w:customStyle="1" w:styleId="DoVA">
    <w:name w:val="DoVA"/>
    <w:basedOn w:val="Normal"/>
    <w:rsid w:val="006F78EA"/>
    <w:pPr>
      <w:tabs>
        <w:tab w:val="left" w:pos="432"/>
        <w:tab w:val="left" w:pos="792"/>
        <w:tab w:val="left" w:pos="1296"/>
        <w:tab w:val="left" w:pos="1872"/>
      </w:tabs>
      <w:spacing w:after="120"/>
      <w:ind w:left="648"/>
    </w:pPr>
    <w:rPr>
      <w:rFonts w:ascii="Arial" w:hAnsi="Arial"/>
      <w:b/>
      <w:color w:val="000080"/>
      <w:sz w:val="32"/>
      <w:szCs w:val="20"/>
    </w:rPr>
  </w:style>
  <w:style w:type="paragraph" w:customStyle="1" w:styleId="Memo">
    <w:name w:val="Memo"/>
    <w:basedOn w:val="Normal"/>
    <w:rsid w:val="006F78EA"/>
    <w:pPr>
      <w:tabs>
        <w:tab w:val="left" w:pos="432"/>
        <w:tab w:val="left" w:pos="792"/>
        <w:tab w:val="left" w:pos="1296"/>
        <w:tab w:val="left" w:pos="1872"/>
      </w:tabs>
      <w:jc w:val="right"/>
    </w:pPr>
    <w:rPr>
      <w:rFonts w:ascii="Arial" w:hAnsi="Arial"/>
      <w:b/>
      <w:color w:val="000080"/>
      <w:sz w:val="64"/>
      <w:szCs w:val="20"/>
    </w:rPr>
  </w:style>
  <w:style w:type="table" w:styleId="TableGrid">
    <w:name w:val="Table Grid"/>
    <w:basedOn w:val="TableNormal"/>
    <w:uiPriority w:val="59"/>
    <w:rsid w:val="00D2028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C2429"/>
    <w:pPr>
      <w:spacing w:before="100" w:beforeAutospacing="1" w:after="100" w:afterAutospacing="1"/>
    </w:pPr>
  </w:style>
  <w:style w:type="character" w:styleId="Strong">
    <w:name w:val="Strong"/>
    <w:basedOn w:val="DefaultParagraphFont"/>
    <w:uiPriority w:val="22"/>
    <w:qFormat/>
    <w:rsid w:val="00DC2429"/>
    <w:rPr>
      <w:b/>
      <w:bCs/>
    </w:rPr>
  </w:style>
  <w:style w:type="character" w:styleId="FollowedHyperlink">
    <w:name w:val="FollowedHyperlink"/>
    <w:basedOn w:val="DefaultParagraphFont"/>
    <w:rsid w:val="00B91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6888">
      <w:bodyDiv w:val="1"/>
      <w:marLeft w:val="0"/>
      <w:marRight w:val="0"/>
      <w:marTop w:val="0"/>
      <w:marBottom w:val="0"/>
      <w:divBdr>
        <w:top w:val="none" w:sz="0" w:space="0" w:color="auto"/>
        <w:left w:val="none" w:sz="0" w:space="0" w:color="auto"/>
        <w:bottom w:val="none" w:sz="0" w:space="0" w:color="auto"/>
        <w:right w:val="none" w:sz="0" w:space="0" w:color="auto"/>
      </w:divBdr>
    </w:div>
    <w:div w:id="434441818">
      <w:bodyDiv w:val="1"/>
      <w:marLeft w:val="0"/>
      <w:marRight w:val="0"/>
      <w:marTop w:val="0"/>
      <w:marBottom w:val="0"/>
      <w:divBdr>
        <w:top w:val="none" w:sz="0" w:space="0" w:color="auto"/>
        <w:left w:val="none" w:sz="0" w:space="0" w:color="auto"/>
        <w:bottom w:val="none" w:sz="0" w:space="0" w:color="auto"/>
        <w:right w:val="none" w:sz="0" w:space="0" w:color="auto"/>
      </w:divBdr>
    </w:div>
    <w:div w:id="774835492">
      <w:bodyDiv w:val="1"/>
      <w:marLeft w:val="0"/>
      <w:marRight w:val="0"/>
      <w:marTop w:val="0"/>
      <w:marBottom w:val="0"/>
      <w:divBdr>
        <w:top w:val="none" w:sz="0" w:space="0" w:color="auto"/>
        <w:left w:val="none" w:sz="0" w:space="0" w:color="auto"/>
        <w:bottom w:val="none" w:sz="0" w:space="0" w:color="auto"/>
        <w:right w:val="none" w:sz="0" w:space="0" w:color="auto"/>
      </w:divBdr>
    </w:div>
    <w:div w:id="1096444780">
      <w:bodyDiv w:val="1"/>
      <w:marLeft w:val="0"/>
      <w:marRight w:val="0"/>
      <w:marTop w:val="0"/>
      <w:marBottom w:val="0"/>
      <w:divBdr>
        <w:top w:val="none" w:sz="0" w:space="0" w:color="auto"/>
        <w:left w:val="none" w:sz="0" w:space="0" w:color="auto"/>
        <w:bottom w:val="none" w:sz="0" w:space="0" w:color="auto"/>
        <w:right w:val="none" w:sz="0" w:space="0" w:color="auto"/>
      </w:divBdr>
    </w:div>
    <w:div w:id="1205941930">
      <w:bodyDiv w:val="1"/>
      <w:marLeft w:val="0"/>
      <w:marRight w:val="0"/>
      <w:marTop w:val="0"/>
      <w:marBottom w:val="0"/>
      <w:divBdr>
        <w:top w:val="none" w:sz="0" w:space="0" w:color="auto"/>
        <w:left w:val="none" w:sz="0" w:space="0" w:color="auto"/>
        <w:bottom w:val="none" w:sz="0" w:space="0" w:color="auto"/>
        <w:right w:val="none" w:sz="0" w:space="0" w:color="auto"/>
      </w:divBdr>
    </w:div>
    <w:div w:id="2041202642">
      <w:bodyDiv w:val="1"/>
      <w:marLeft w:val="0"/>
      <w:marRight w:val="0"/>
      <w:marTop w:val="0"/>
      <w:marBottom w:val="0"/>
      <w:divBdr>
        <w:top w:val="none" w:sz="0" w:space="0" w:color="auto"/>
        <w:left w:val="none" w:sz="0" w:space="0" w:color="auto"/>
        <w:bottom w:val="none" w:sz="0" w:space="0" w:color="auto"/>
        <w:right w:val="none" w:sz="0" w:space="0" w:color="auto"/>
      </w:divBdr>
      <w:divsChild>
        <w:div w:id="1990092300">
          <w:marLeft w:val="0"/>
          <w:marRight w:val="0"/>
          <w:marTop w:val="0"/>
          <w:marBottom w:val="0"/>
          <w:divBdr>
            <w:top w:val="none" w:sz="0" w:space="0" w:color="auto"/>
            <w:left w:val="none" w:sz="0" w:space="0" w:color="auto"/>
            <w:bottom w:val="none" w:sz="0" w:space="0" w:color="auto"/>
            <w:right w:val="none" w:sz="0" w:space="0" w:color="auto"/>
          </w:divBdr>
          <w:divsChild>
            <w:div w:id="1896431293">
              <w:marLeft w:val="0"/>
              <w:marRight w:val="0"/>
              <w:marTop w:val="0"/>
              <w:marBottom w:val="0"/>
              <w:divBdr>
                <w:top w:val="none" w:sz="0" w:space="0" w:color="auto"/>
                <w:left w:val="none" w:sz="0" w:space="0" w:color="auto"/>
                <w:bottom w:val="none" w:sz="0" w:space="0" w:color="auto"/>
                <w:right w:val="none" w:sz="0" w:space="0" w:color="auto"/>
              </w:divBdr>
              <w:divsChild>
                <w:div w:id="972322991">
                  <w:marLeft w:val="0"/>
                  <w:marRight w:val="0"/>
                  <w:marTop w:val="0"/>
                  <w:marBottom w:val="0"/>
                  <w:divBdr>
                    <w:top w:val="none" w:sz="0" w:space="0" w:color="auto"/>
                    <w:left w:val="none" w:sz="0" w:space="0" w:color="auto"/>
                    <w:bottom w:val="none" w:sz="0" w:space="0" w:color="auto"/>
                    <w:right w:val="none" w:sz="0" w:space="0" w:color="auto"/>
                  </w:divBdr>
                  <w:divsChild>
                    <w:div w:id="762149768">
                      <w:marLeft w:val="0"/>
                      <w:marRight w:val="0"/>
                      <w:marTop w:val="0"/>
                      <w:marBottom w:val="0"/>
                      <w:divBdr>
                        <w:top w:val="none" w:sz="0" w:space="0" w:color="auto"/>
                        <w:left w:val="none" w:sz="0" w:space="0" w:color="auto"/>
                        <w:bottom w:val="none" w:sz="0" w:space="0" w:color="auto"/>
                        <w:right w:val="none" w:sz="0" w:space="0" w:color="auto"/>
                      </w:divBdr>
                      <w:divsChild>
                        <w:div w:id="1101486878">
                          <w:marLeft w:val="0"/>
                          <w:marRight w:val="0"/>
                          <w:marTop w:val="0"/>
                          <w:marBottom w:val="0"/>
                          <w:divBdr>
                            <w:top w:val="single" w:sz="6" w:space="0" w:color="DBE4EF"/>
                            <w:left w:val="single" w:sz="6" w:space="0" w:color="DBE4EF"/>
                            <w:bottom w:val="single" w:sz="6" w:space="0" w:color="DBE4EF"/>
                            <w:right w:val="single" w:sz="6" w:space="0" w:color="DBE4EF"/>
                          </w:divBdr>
                          <w:divsChild>
                            <w:div w:id="1202130062">
                              <w:marLeft w:val="0"/>
                              <w:marRight w:val="0"/>
                              <w:marTop w:val="0"/>
                              <w:marBottom w:val="0"/>
                              <w:divBdr>
                                <w:top w:val="none" w:sz="0" w:space="0" w:color="auto"/>
                                <w:left w:val="none" w:sz="0" w:space="0" w:color="auto"/>
                                <w:bottom w:val="single" w:sz="6" w:space="0" w:color="D6E2EB"/>
                                <w:right w:val="none" w:sz="0" w:space="0" w:color="auto"/>
                              </w:divBdr>
                              <w:divsChild>
                                <w:div w:id="1822966700">
                                  <w:marLeft w:val="0"/>
                                  <w:marRight w:val="0"/>
                                  <w:marTop w:val="0"/>
                                  <w:marBottom w:val="0"/>
                                  <w:divBdr>
                                    <w:top w:val="none" w:sz="0" w:space="0" w:color="auto"/>
                                    <w:left w:val="none" w:sz="0" w:space="0" w:color="auto"/>
                                    <w:bottom w:val="none" w:sz="0" w:space="0" w:color="auto"/>
                                    <w:right w:val="none" w:sz="0" w:space="0" w:color="auto"/>
                                  </w:divBdr>
                                  <w:divsChild>
                                    <w:div w:id="1036392773">
                                      <w:marLeft w:val="2775"/>
                                      <w:marRight w:val="150"/>
                                      <w:marTop w:val="0"/>
                                      <w:marBottom w:val="0"/>
                                      <w:divBdr>
                                        <w:top w:val="none" w:sz="0" w:space="0" w:color="auto"/>
                                        <w:left w:val="none" w:sz="0" w:space="0" w:color="auto"/>
                                        <w:bottom w:val="none" w:sz="0" w:space="0" w:color="auto"/>
                                        <w:right w:val="none" w:sz="0" w:space="0" w:color="auto"/>
                                      </w:divBdr>
                                      <w:divsChild>
                                        <w:div w:id="109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963A-0540-4C67-8A8D-725AE657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VA Contingency Plan Appendix B</vt:lpstr>
    </vt:vector>
  </TitlesOfParts>
  <Manager>Assistant Secretary for Human Resources and Administration/Operations, Security, and Preparedness (006)</Manager>
  <Company>Department of Veterans Affairs</Company>
  <LinksUpToDate>false</LinksUpToDate>
  <CharactersWithSpaces>10240</CharactersWithSpaces>
  <SharedDoc>false</SharedDoc>
  <HLinks>
    <vt:vector size="18" baseType="variant">
      <vt:variant>
        <vt:i4>3932172</vt:i4>
      </vt:variant>
      <vt:variant>
        <vt:i4>6</vt:i4>
      </vt:variant>
      <vt:variant>
        <vt:i4>0</vt:i4>
      </vt:variant>
      <vt:variant>
        <vt:i4>5</vt:i4>
      </vt:variant>
      <vt:variant>
        <vt:lpwstr>mailto:VA.Procurement.Policy@va.gov</vt:lpwstr>
      </vt:variant>
      <vt:variant>
        <vt:lpwstr/>
      </vt:variant>
      <vt:variant>
        <vt:i4>3932172</vt:i4>
      </vt:variant>
      <vt:variant>
        <vt:i4>3</vt:i4>
      </vt:variant>
      <vt:variant>
        <vt:i4>0</vt:i4>
      </vt:variant>
      <vt:variant>
        <vt:i4>5</vt:i4>
      </vt:variant>
      <vt:variant>
        <vt:lpwstr>mailto:VA.Procurement.Policy@va.gov</vt:lpwstr>
      </vt:variant>
      <vt:variant>
        <vt:lpwstr/>
      </vt:variant>
      <vt:variant>
        <vt:i4>3932172</vt:i4>
      </vt:variant>
      <vt:variant>
        <vt:i4>0</vt:i4>
      </vt:variant>
      <vt:variant>
        <vt:i4>0</vt:i4>
      </vt:variant>
      <vt:variant>
        <vt:i4>5</vt:i4>
      </vt:variant>
      <vt:variant>
        <vt:lpwstr>mailto:VA.Procurement.Policy@va.gov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Contingency Plan Appendix B</dc:title>
  <dc:subject>Lapse of Appropriation Implementation Procedures</dc:subject>
  <dc:creator>Department of Veterans Affairs</dc:creator>
  <cp:lastModifiedBy>Ranes, Michelle M.</cp:lastModifiedBy>
  <cp:revision>7</cp:revision>
  <cp:lastPrinted>2015-01-30T20:34:00Z</cp:lastPrinted>
  <dcterms:created xsi:type="dcterms:W3CDTF">2015-11-04T14:18:00Z</dcterms:created>
  <dcterms:modified xsi:type="dcterms:W3CDTF">2023-11-15T22:25:00Z</dcterms:modified>
</cp:coreProperties>
</file>